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8D3C5" w14:textId="78C4BB5A" w:rsidR="006F306A" w:rsidRPr="00F05D5A" w:rsidRDefault="00F05D5A" w:rsidP="00110F63">
      <w:pPr>
        <w:spacing w:line="276" w:lineRule="auto"/>
        <w:jc w:val="both"/>
        <w:rPr>
          <w:rFonts w:cstheme="minorHAnsi"/>
          <w:b/>
        </w:rPr>
      </w:pPr>
      <w:r w:rsidRPr="00F05D5A">
        <w:rPr>
          <w:rFonts w:cstheme="minorHAnsi"/>
          <w:b/>
        </w:rPr>
        <w:t>PROTOCOL FOR SCOPING REVIEW</w:t>
      </w:r>
    </w:p>
    <w:p w14:paraId="2EF49A00" w14:textId="77777777" w:rsidR="00F05D5A" w:rsidRPr="00110F63" w:rsidRDefault="00F05D5A" w:rsidP="00110F63">
      <w:pPr>
        <w:spacing w:line="276" w:lineRule="auto"/>
        <w:jc w:val="both"/>
        <w:rPr>
          <w:rFonts w:cstheme="minorHAnsi"/>
        </w:rPr>
      </w:pPr>
    </w:p>
    <w:p w14:paraId="1FE11E80" w14:textId="5C5F74B7" w:rsidR="00821C07" w:rsidRPr="00110F63" w:rsidRDefault="00C73A92" w:rsidP="00110F63">
      <w:pPr>
        <w:spacing w:line="276" w:lineRule="auto"/>
        <w:jc w:val="both"/>
        <w:rPr>
          <w:rFonts w:cstheme="minorHAnsi"/>
          <w:b/>
          <w:bCs/>
        </w:rPr>
      </w:pPr>
      <w:r>
        <w:rPr>
          <w:rFonts w:cstheme="minorHAnsi"/>
          <w:b/>
          <w:bCs/>
        </w:rPr>
        <w:t>1.</w:t>
      </w:r>
      <w:r w:rsidR="00605E1A">
        <w:rPr>
          <w:rFonts w:cstheme="minorHAnsi"/>
          <w:b/>
          <w:bCs/>
        </w:rPr>
        <w:t xml:space="preserve"> </w:t>
      </w:r>
      <w:r>
        <w:rPr>
          <w:rFonts w:cstheme="minorHAnsi"/>
          <w:b/>
          <w:bCs/>
        </w:rPr>
        <w:t xml:space="preserve">Title: </w:t>
      </w:r>
      <w:r w:rsidR="00CA0CD4">
        <w:rPr>
          <w:rFonts w:cstheme="minorHAnsi"/>
          <w:b/>
          <w:bCs/>
        </w:rPr>
        <w:t>E</w:t>
      </w:r>
      <w:r w:rsidR="0088306E">
        <w:rPr>
          <w:rFonts w:cstheme="minorHAnsi"/>
          <w:b/>
          <w:bCs/>
        </w:rPr>
        <w:t>ating advice</w:t>
      </w:r>
      <w:r w:rsidR="006F306A" w:rsidRPr="00110F63">
        <w:rPr>
          <w:rFonts w:cstheme="minorHAnsi"/>
          <w:b/>
          <w:bCs/>
        </w:rPr>
        <w:t xml:space="preserve"> for people who wear dentures: </w:t>
      </w:r>
      <w:r w:rsidR="00883527" w:rsidRPr="00110F63">
        <w:rPr>
          <w:rFonts w:cstheme="minorHAnsi"/>
          <w:b/>
          <w:bCs/>
        </w:rPr>
        <w:t xml:space="preserve">A </w:t>
      </w:r>
      <w:r w:rsidR="006F306A" w:rsidRPr="00110F63">
        <w:rPr>
          <w:rFonts w:cstheme="minorHAnsi"/>
          <w:b/>
          <w:bCs/>
        </w:rPr>
        <w:t>scoping review</w:t>
      </w:r>
      <w:r w:rsidR="00883527" w:rsidRPr="00110F63">
        <w:rPr>
          <w:rFonts w:cstheme="minorHAnsi"/>
          <w:b/>
          <w:bCs/>
        </w:rPr>
        <w:t xml:space="preserve"> of </w:t>
      </w:r>
      <w:r w:rsidR="0088306E">
        <w:rPr>
          <w:rFonts w:cstheme="minorHAnsi"/>
          <w:b/>
          <w:bCs/>
        </w:rPr>
        <w:t>health education literature</w:t>
      </w:r>
    </w:p>
    <w:p w14:paraId="3D67E432" w14:textId="55AA34FE" w:rsidR="006F306A" w:rsidRPr="00110F63" w:rsidRDefault="006F306A" w:rsidP="00110F63">
      <w:pPr>
        <w:spacing w:line="276" w:lineRule="auto"/>
        <w:jc w:val="both"/>
        <w:rPr>
          <w:rFonts w:cstheme="minorHAnsi"/>
        </w:rPr>
      </w:pPr>
    </w:p>
    <w:p w14:paraId="53E5E313" w14:textId="27613513" w:rsidR="00A12D15" w:rsidRPr="00110F63" w:rsidRDefault="00A12D15" w:rsidP="00A12D15">
      <w:pPr>
        <w:spacing w:line="276" w:lineRule="auto"/>
        <w:jc w:val="both"/>
        <w:rPr>
          <w:rFonts w:cstheme="minorHAnsi"/>
        </w:rPr>
      </w:pPr>
      <w:r w:rsidRPr="00605E1A">
        <w:rPr>
          <w:rFonts w:cstheme="minorHAnsi"/>
          <w:b/>
          <w:bCs/>
        </w:rPr>
        <w:t>2. Authors:</w:t>
      </w:r>
      <w:r>
        <w:rPr>
          <w:rFonts w:cstheme="minorHAnsi"/>
        </w:rPr>
        <w:t xml:space="preserve"> </w:t>
      </w:r>
      <w:r w:rsidR="006F306A" w:rsidRPr="00110F63">
        <w:rPr>
          <w:rFonts w:cstheme="minorHAnsi"/>
        </w:rPr>
        <w:t>Paula Moynihan</w:t>
      </w:r>
      <w:r>
        <w:rPr>
          <w:rFonts w:cstheme="minorHAnsi"/>
        </w:rPr>
        <w:t xml:space="preserve">, </w:t>
      </w:r>
      <w:r w:rsidRPr="00110F63">
        <w:rPr>
          <w:rFonts w:cstheme="minorHAnsi"/>
        </w:rPr>
        <w:t>Adelaide Dental School</w:t>
      </w:r>
      <w:r w:rsidR="00F05D5A">
        <w:rPr>
          <w:rFonts w:cstheme="minorHAnsi"/>
        </w:rPr>
        <w:t>, The University of Adelaide, Australia</w:t>
      </w:r>
      <w:r w:rsidR="000F5117">
        <w:rPr>
          <w:rFonts w:cstheme="minorHAnsi"/>
        </w:rPr>
        <w:t>.</w:t>
      </w:r>
    </w:p>
    <w:p w14:paraId="2C130BB7" w14:textId="5952DC2E" w:rsidR="006F306A" w:rsidRDefault="00A12D15" w:rsidP="00110F63">
      <w:pPr>
        <w:spacing w:line="276" w:lineRule="auto"/>
        <w:jc w:val="both"/>
      </w:pPr>
      <w:r w:rsidRPr="7B79A70B">
        <w:t xml:space="preserve">Roshan Varghese, </w:t>
      </w:r>
      <w:r w:rsidR="000F5117">
        <w:t>GlaxoSmithKline</w:t>
      </w:r>
      <w:r w:rsidR="00AF7480">
        <w:t xml:space="preserve"> Consumer H</w:t>
      </w:r>
      <w:bookmarkStart w:id="0" w:name="_GoBack"/>
      <w:bookmarkEnd w:id="0"/>
      <w:r w:rsidR="00F05D5A">
        <w:t>ealthcare, Weybridge, United Kingdom</w:t>
      </w:r>
      <w:r w:rsidR="000F5117">
        <w:t>.</w:t>
      </w:r>
    </w:p>
    <w:p w14:paraId="3028442E" w14:textId="77777777" w:rsidR="00F05D5A" w:rsidRPr="00110F63" w:rsidRDefault="00F05D5A" w:rsidP="00110F63">
      <w:pPr>
        <w:spacing w:line="276" w:lineRule="auto"/>
        <w:jc w:val="both"/>
        <w:rPr>
          <w:rFonts w:cstheme="minorHAnsi"/>
        </w:rPr>
      </w:pPr>
    </w:p>
    <w:p w14:paraId="5AC2142E" w14:textId="38BE3340" w:rsidR="00883527" w:rsidRPr="00110F63" w:rsidRDefault="00A12D15" w:rsidP="00180AE2">
      <w:pPr>
        <w:spacing w:line="276" w:lineRule="auto"/>
        <w:jc w:val="both"/>
        <w:rPr>
          <w:rFonts w:cstheme="minorHAnsi"/>
          <w:b/>
          <w:bCs/>
        </w:rPr>
      </w:pPr>
      <w:r>
        <w:rPr>
          <w:rFonts w:cstheme="minorHAnsi"/>
          <w:b/>
          <w:bCs/>
        </w:rPr>
        <w:t>3</w:t>
      </w:r>
      <w:r w:rsidR="00C73A92">
        <w:rPr>
          <w:rFonts w:cstheme="minorHAnsi"/>
          <w:b/>
          <w:bCs/>
        </w:rPr>
        <w:t>.</w:t>
      </w:r>
      <w:r w:rsidR="00180AE2">
        <w:rPr>
          <w:rFonts w:cstheme="minorHAnsi"/>
          <w:b/>
          <w:bCs/>
        </w:rPr>
        <w:t xml:space="preserve"> </w:t>
      </w:r>
      <w:r w:rsidR="00883527" w:rsidRPr="00110F63">
        <w:rPr>
          <w:rFonts w:cstheme="minorHAnsi"/>
          <w:b/>
          <w:bCs/>
        </w:rPr>
        <w:t>Background</w:t>
      </w:r>
    </w:p>
    <w:p w14:paraId="30DD106D" w14:textId="73C10307" w:rsidR="00883527" w:rsidRDefault="00883527" w:rsidP="00180AE2">
      <w:pPr>
        <w:spacing w:line="276" w:lineRule="auto"/>
        <w:jc w:val="both"/>
        <w:rPr>
          <w:rFonts w:cstheme="minorHAnsi"/>
        </w:rPr>
      </w:pPr>
    </w:p>
    <w:p w14:paraId="0A3A3DE9" w14:textId="659D1A24" w:rsidR="00FD3D08" w:rsidRDefault="00180AE2" w:rsidP="00FD3D08">
      <w:pPr>
        <w:autoSpaceDE w:val="0"/>
        <w:autoSpaceDN w:val="0"/>
        <w:adjustRightInd w:val="0"/>
        <w:spacing w:line="276" w:lineRule="auto"/>
        <w:jc w:val="both"/>
        <w:rPr>
          <w:rFonts w:cstheme="minorHAnsi"/>
          <w:lang w:val="en-GB"/>
        </w:rPr>
      </w:pPr>
      <w:r>
        <w:t>Tooth loss directly causes reduced chewing and eating function (Michael 1990) and denture wearers report problems with chewing and eating (Hyland et al 2009). Observational studies report that tooth loss is associated with a poor diet with lower intakes of fruits and vegetables (Tsakos et al 2010; Nakamura et. al 2019), dietary fibre (Iwasaki et al 2016), and protein (Iwasaki et al 2016; Mendonca et al. 2018), and higher intakes of saturated fat (Lee et al 2004) and increased risk of undernutrition (Ritchie et al 2000; De-Andrade et al 201</w:t>
      </w:r>
      <w:r w:rsidR="00B32DE0">
        <w:t>4</w:t>
      </w:r>
      <w:r>
        <w:t xml:space="preserve">). Despite </w:t>
      </w:r>
      <w:r w:rsidRPr="00CA0CD4">
        <w:rPr>
          <w:rFonts w:cstheme="minorHAnsi"/>
        </w:rPr>
        <w:t xml:space="preserve">significantly improving chewing function, </w:t>
      </w:r>
      <w:r w:rsidR="00C51F08" w:rsidRPr="00CA0CD4">
        <w:rPr>
          <w:rFonts w:cstheme="minorHAnsi"/>
        </w:rPr>
        <w:t xml:space="preserve">the majority of </w:t>
      </w:r>
      <w:r w:rsidRPr="00CA0CD4">
        <w:rPr>
          <w:rFonts w:cstheme="minorHAnsi"/>
        </w:rPr>
        <w:t>evidence indicates that prosthetic rehabilitation in the absence of dietary intervention does not result in consumption of a healthier diet (</w:t>
      </w:r>
      <w:r w:rsidR="00C51F08" w:rsidRPr="00CA0CD4">
        <w:rPr>
          <w:rFonts w:cstheme="minorHAnsi"/>
        </w:rPr>
        <w:t xml:space="preserve">Moynihan et al 2000; </w:t>
      </w:r>
      <w:r w:rsidR="00B32DE0">
        <w:rPr>
          <w:rFonts w:cstheme="minorHAnsi"/>
        </w:rPr>
        <w:t>Hamada et.  al 2001</w:t>
      </w:r>
      <w:r w:rsidR="00C51F08" w:rsidRPr="00CA0CD4">
        <w:rPr>
          <w:rFonts w:cstheme="minorHAnsi"/>
        </w:rPr>
        <w:t>; Madhuri 2014</w:t>
      </w:r>
      <w:r w:rsidRPr="00CA0CD4">
        <w:rPr>
          <w:rFonts w:cstheme="minorHAnsi"/>
        </w:rPr>
        <w:t>)</w:t>
      </w:r>
      <w:r w:rsidR="00C51F08" w:rsidRPr="00CA0CD4">
        <w:rPr>
          <w:rFonts w:cstheme="minorHAnsi"/>
        </w:rPr>
        <w:t xml:space="preserve">. However, </w:t>
      </w:r>
      <w:r w:rsidR="00C51F08" w:rsidRPr="00CA0CD4">
        <w:rPr>
          <w:rFonts w:cstheme="minorHAnsi"/>
          <w:lang w:val="en-GB"/>
        </w:rPr>
        <w:t xml:space="preserve">McKenna et al reported a significant improvement in nutritional status following provision of partial dentures (McKenna et al 2012). </w:t>
      </w:r>
      <w:r w:rsidRPr="00CA0CD4">
        <w:rPr>
          <w:rFonts w:cstheme="minorHAnsi"/>
        </w:rPr>
        <w:t xml:space="preserve"> </w:t>
      </w:r>
      <w:r w:rsidR="00FD3D08" w:rsidRPr="00CA0CD4">
        <w:rPr>
          <w:rFonts w:cstheme="minorHAnsi"/>
        </w:rPr>
        <w:t xml:space="preserve">A recent narrative evidence synthesis of interventions to promote healthier eating delivered concurrently with dental prosthetic restoration </w:t>
      </w:r>
      <w:r w:rsidR="00FD3D08" w:rsidRPr="00CA0CD4">
        <w:rPr>
          <w:rFonts w:cstheme="minorHAnsi"/>
          <w:lang w:val="en-GB"/>
        </w:rPr>
        <w:t>identified 8 studies that reported at least one positive outcome regarding healthier eating for all studies and indicated support for healthy eating interventions coupled with oral rehabilitation. Meta- analysis on the impact of dietary interventions on fruit and vegetable intake for three studies showed in a standardized mean difference (S</w:t>
      </w:r>
      <w:r w:rsidR="00F05D5A">
        <w:rPr>
          <w:rFonts w:cstheme="minorHAnsi"/>
          <w:lang w:val="en-GB"/>
        </w:rPr>
        <w:t>MD) of 0.29 [CI -0.54, 1.12], p</w:t>
      </w:r>
      <w:r w:rsidR="00FD3D08" w:rsidRPr="00CA0CD4">
        <w:rPr>
          <w:rFonts w:cstheme="minorHAnsi"/>
          <w:lang w:val="en-GB"/>
        </w:rPr>
        <w:t>=0.49, b</w:t>
      </w:r>
      <w:r w:rsidR="00F05D5A">
        <w:rPr>
          <w:rFonts w:cstheme="minorHAnsi"/>
          <w:lang w:val="en-GB"/>
        </w:rPr>
        <w:t>ut with marked heterogeneity (p</w:t>
      </w:r>
      <w:r w:rsidR="00FD3D08" w:rsidRPr="00CA0CD4">
        <w:rPr>
          <w:rFonts w:cstheme="minorHAnsi"/>
          <w:lang w:val="en-GB"/>
        </w:rPr>
        <w:t>=0.0007)</w:t>
      </w:r>
      <w:r w:rsidR="00CA0CD4" w:rsidRPr="00CA0CD4">
        <w:rPr>
          <w:rFonts w:cstheme="minorHAnsi"/>
          <w:lang w:val="en-GB"/>
        </w:rPr>
        <w:t xml:space="preserve"> (McGowan et al 2019). </w:t>
      </w:r>
    </w:p>
    <w:p w14:paraId="73F0DBF9" w14:textId="77777777" w:rsidR="007F60DB" w:rsidRDefault="007F60DB" w:rsidP="00FD3D08">
      <w:pPr>
        <w:autoSpaceDE w:val="0"/>
        <w:autoSpaceDN w:val="0"/>
        <w:adjustRightInd w:val="0"/>
        <w:spacing w:line="276" w:lineRule="auto"/>
        <w:jc w:val="both"/>
        <w:rPr>
          <w:rFonts w:cstheme="minorHAnsi"/>
          <w:lang w:val="en-GB"/>
        </w:rPr>
      </w:pPr>
    </w:p>
    <w:p w14:paraId="5A4E4F34" w14:textId="75EC6D1A" w:rsidR="00B32DE0" w:rsidRPr="00CA0CD4" w:rsidRDefault="00B32DE0" w:rsidP="00FD3D08">
      <w:pPr>
        <w:autoSpaceDE w:val="0"/>
        <w:autoSpaceDN w:val="0"/>
        <w:adjustRightInd w:val="0"/>
        <w:spacing w:line="276" w:lineRule="auto"/>
        <w:jc w:val="both"/>
        <w:rPr>
          <w:rFonts w:cstheme="minorHAnsi"/>
          <w:lang w:val="en-GB"/>
        </w:rPr>
      </w:pPr>
      <w:r>
        <w:rPr>
          <w:rFonts w:cstheme="minorHAnsi"/>
          <w:lang w:val="en-GB"/>
        </w:rPr>
        <w:t xml:space="preserve">Improving chewing and biting function through the provision of dentures </w:t>
      </w:r>
      <w:r w:rsidR="00791D83">
        <w:rPr>
          <w:rFonts w:cstheme="minorHAnsi"/>
          <w:lang w:val="en-GB"/>
        </w:rPr>
        <w:t>improves eating function but not to the extent of a dentate person with 20+ natural teeth (Moynihan et al 2020).  Dental prostheses do not fully restore eating function to the previously dentate level. Research has indicated that people that wear dentures have reduced eating-related quality of life (Hyland et al 2009</w:t>
      </w:r>
      <w:r w:rsidR="006B31F8">
        <w:rPr>
          <w:rFonts w:cstheme="minorHAnsi"/>
          <w:lang w:val="en-GB"/>
        </w:rPr>
        <w:t>; Al-Sultani et al 2018</w:t>
      </w:r>
      <w:r w:rsidR="00791D83">
        <w:rPr>
          <w:rFonts w:cstheme="minorHAnsi"/>
          <w:lang w:val="en-GB"/>
        </w:rPr>
        <w:t xml:space="preserve">) and experience problems with biting, chewing, pain on eating, denture related stomatitis and sore mouth, reduced flavour perception, embarrassment caused by foods sticking to dentures and limitations in food choice (Hyland et al 2009; </w:t>
      </w:r>
      <w:r w:rsidR="00605E1A">
        <w:rPr>
          <w:rFonts w:cstheme="minorHAnsi"/>
          <w:lang w:val="en-GB"/>
        </w:rPr>
        <w:t>Kelly et</w:t>
      </w:r>
      <w:r w:rsidR="00791D83">
        <w:rPr>
          <w:rFonts w:cstheme="minorHAnsi"/>
          <w:lang w:val="en-GB"/>
        </w:rPr>
        <w:t xml:space="preserve"> al 2012; Al-Sultani 201</w:t>
      </w:r>
      <w:r w:rsidR="006B31F8">
        <w:rPr>
          <w:rFonts w:cstheme="minorHAnsi"/>
          <w:lang w:val="en-GB"/>
        </w:rPr>
        <w:t>8</w:t>
      </w:r>
      <w:r w:rsidR="00791D83">
        <w:rPr>
          <w:rFonts w:cstheme="minorHAnsi"/>
          <w:lang w:val="en-GB"/>
        </w:rPr>
        <w:t xml:space="preserve">). </w:t>
      </w:r>
    </w:p>
    <w:p w14:paraId="10E19FC9" w14:textId="77777777" w:rsidR="00F738CC" w:rsidRDefault="00180AE2" w:rsidP="00180AE2">
      <w:pPr>
        <w:spacing w:line="276" w:lineRule="auto"/>
        <w:jc w:val="both"/>
        <w:rPr>
          <w:rFonts w:cstheme="minorHAnsi"/>
        </w:rPr>
      </w:pPr>
      <w:r w:rsidRPr="00CA0CD4">
        <w:rPr>
          <w:rFonts w:cstheme="minorHAnsi"/>
        </w:rPr>
        <w:t xml:space="preserve"> </w:t>
      </w:r>
    </w:p>
    <w:p w14:paraId="131FAC10" w14:textId="559C0719" w:rsidR="00180AE2" w:rsidRPr="00CA0CD4" w:rsidRDefault="00180AE2" w:rsidP="00180AE2">
      <w:pPr>
        <w:spacing w:line="276" w:lineRule="auto"/>
        <w:jc w:val="both"/>
        <w:rPr>
          <w:rFonts w:cstheme="minorHAnsi"/>
        </w:rPr>
      </w:pPr>
      <w:r w:rsidRPr="00CA0CD4">
        <w:rPr>
          <w:rFonts w:cstheme="minorHAnsi"/>
        </w:rPr>
        <w:t xml:space="preserve">Most research </w:t>
      </w:r>
      <w:r w:rsidR="00791D83">
        <w:rPr>
          <w:rFonts w:cstheme="minorHAnsi"/>
        </w:rPr>
        <w:t>concerned with dietary intervention in those with tooth loss,</w:t>
      </w:r>
      <w:r w:rsidRPr="00CA0CD4">
        <w:rPr>
          <w:rFonts w:cstheme="minorHAnsi"/>
        </w:rPr>
        <w:t xml:space="preserve"> known to the authors</w:t>
      </w:r>
      <w:r w:rsidR="00791D83">
        <w:rPr>
          <w:rFonts w:cstheme="minorHAnsi"/>
        </w:rPr>
        <w:t>,</w:t>
      </w:r>
      <w:r w:rsidRPr="00CA0CD4">
        <w:rPr>
          <w:rFonts w:cstheme="minorHAnsi"/>
        </w:rPr>
        <w:t xml:space="preserve"> ha</w:t>
      </w:r>
      <w:r w:rsidR="00791D83">
        <w:rPr>
          <w:rFonts w:cstheme="minorHAnsi"/>
        </w:rPr>
        <w:t>s</w:t>
      </w:r>
      <w:r w:rsidRPr="00CA0CD4">
        <w:rPr>
          <w:rFonts w:cstheme="minorHAnsi"/>
        </w:rPr>
        <w:t xml:space="preserve"> focused on promoting healthier eating </w:t>
      </w:r>
      <w:r w:rsidR="00CA0CD4">
        <w:rPr>
          <w:rFonts w:cstheme="minorHAnsi"/>
        </w:rPr>
        <w:t xml:space="preserve">or preventing malnutrition </w:t>
      </w:r>
      <w:r w:rsidRPr="00CA0CD4">
        <w:rPr>
          <w:rFonts w:cstheme="minorHAnsi"/>
        </w:rPr>
        <w:t xml:space="preserve">as opposed to a specific focus on the practical </w:t>
      </w:r>
      <w:r w:rsidR="00791D83">
        <w:rPr>
          <w:rFonts w:cstheme="minorHAnsi"/>
        </w:rPr>
        <w:t xml:space="preserve">and functional </w:t>
      </w:r>
      <w:r w:rsidRPr="00CA0CD4">
        <w:rPr>
          <w:rFonts w:cstheme="minorHAnsi"/>
        </w:rPr>
        <w:t xml:space="preserve">issues around eating that denture wearers </w:t>
      </w:r>
      <w:r w:rsidRPr="00CA0CD4">
        <w:rPr>
          <w:rFonts w:cstheme="minorHAnsi"/>
        </w:rPr>
        <w:lastRenderedPageBreak/>
        <w:t>face.  Advice on eating with dentures</w:t>
      </w:r>
      <w:r w:rsidR="00791D83">
        <w:rPr>
          <w:rFonts w:cstheme="minorHAnsi"/>
        </w:rPr>
        <w:t xml:space="preserve"> is likely to </w:t>
      </w:r>
      <w:r w:rsidRPr="00CA0CD4">
        <w:rPr>
          <w:rFonts w:cstheme="minorHAnsi"/>
        </w:rPr>
        <w:t xml:space="preserve">be available in the health education literature, </w:t>
      </w:r>
      <w:r w:rsidR="00B50EC3">
        <w:rPr>
          <w:rFonts w:cstheme="minorHAnsi"/>
        </w:rPr>
        <w:t xml:space="preserve">and through websites, </w:t>
      </w:r>
      <w:r w:rsidRPr="00CA0CD4">
        <w:rPr>
          <w:rFonts w:cstheme="minorHAnsi"/>
        </w:rPr>
        <w:t xml:space="preserve">but its content and effectiveness </w:t>
      </w:r>
      <w:r w:rsidR="00B50EC3">
        <w:rPr>
          <w:rFonts w:cstheme="minorHAnsi"/>
        </w:rPr>
        <w:t xml:space="preserve">at overcoming eating problems, </w:t>
      </w:r>
      <w:r w:rsidRPr="00CA0CD4">
        <w:rPr>
          <w:rFonts w:cstheme="minorHAnsi"/>
        </w:rPr>
        <w:t xml:space="preserve">improving </w:t>
      </w:r>
      <w:r w:rsidR="00605E1A" w:rsidRPr="00CA0CD4">
        <w:rPr>
          <w:rFonts w:cstheme="minorHAnsi"/>
        </w:rPr>
        <w:t>nutrition,</w:t>
      </w:r>
      <w:r w:rsidRPr="00CA0CD4">
        <w:rPr>
          <w:rFonts w:cstheme="minorHAnsi"/>
        </w:rPr>
        <w:t xml:space="preserve"> and </w:t>
      </w:r>
      <w:r w:rsidR="00B50EC3">
        <w:rPr>
          <w:rFonts w:cstheme="minorHAnsi"/>
        </w:rPr>
        <w:t xml:space="preserve">increasing </w:t>
      </w:r>
      <w:r w:rsidRPr="00CA0CD4">
        <w:rPr>
          <w:rFonts w:cstheme="minorHAnsi"/>
        </w:rPr>
        <w:t>eating-related quality of life is unknown.</w:t>
      </w:r>
    </w:p>
    <w:p w14:paraId="7AC367B8" w14:textId="77777777" w:rsidR="00C73A92" w:rsidRDefault="00C73A92" w:rsidP="00180AE2">
      <w:pPr>
        <w:spacing w:line="276" w:lineRule="auto"/>
        <w:jc w:val="both"/>
        <w:rPr>
          <w:rFonts w:cstheme="minorHAnsi"/>
          <w:b/>
          <w:bCs/>
        </w:rPr>
      </w:pPr>
    </w:p>
    <w:p w14:paraId="192D4CD7" w14:textId="6A4BE141" w:rsidR="0036369B" w:rsidRPr="00110F63" w:rsidRDefault="00A12D15" w:rsidP="00110F63">
      <w:pPr>
        <w:spacing w:line="276" w:lineRule="auto"/>
        <w:jc w:val="both"/>
        <w:rPr>
          <w:rFonts w:cstheme="minorHAnsi"/>
        </w:rPr>
      </w:pPr>
      <w:r>
        <w:rPr>
          <w:rFonts w:cstheme="minorHAnsi"/>
          <w:b/>
          <w:bCs/>
        </w:rPr>
        <w:t>4</w:t>
      </w:r>
      <w:r w:rsidR="00C73A92">
        <w:rPr>
          <w:rFonts w:cstheme="minorHAnsi"/>
          <w:b/>
          <w:bCs/>
        </w:rPr>
        <w:t xml:space="preserve">. </w:t>
      </w:r>
      <w:r w:rsidR="006F306A" w:rsidRPr="00110F63">
        <w:rPr>
          <w:rFonts w:cstheme="minorHAnsi"/>
          <w:b/>
          <w:bCs/>
        </w:rPr>
        <w:t>Aim</w:t>
      </w:r>
      <w:r w:rsidR="0036369B" w:rsidRPr="00110F63">
        <w:rPr>
          <w:rFonts w:cstheme="minorHAnsi"/>
          <w:b/>
          <w:bCs/>
        </w:rPr>
        <w:t>s</w:t>
      </w:r>
      <w:r w:rsidR="004A2C58">
        <w:rPr>
          <w:rFonts w:cstheme="minorHAnsi"/>
          <w:b/>
          <w:bCs/>
        </w:rPr>
        <w:t xml:space="preserve"> and objective</w:t>
      </w:r>
    </w:p>
    <w:p w14:paraId="4E5FD86E" w14:textId="77AC3C3E" w:rsidR="006F306A" w:rsidRDefault="0036369B" w:rsidP="00110F63">
      <w:pPr>
        <w:spacing w:line="276" w:lineRule="auto"/>
        <w:jc w:val="both"/>
        <w:rPr>
          <w:rFonts w:cstheme="minorHAnsi"/>
        </w:rPr>
      </w:pPr>
      <w:r w:rsidRPr="00110F63">
        <w:rPr>
          <w:rFonts w:cstheme="minorHAnsi"/>
        </w:rPr>
        <w:t xml:space="preserve">The overall aim is </w:t>
      </w:r>
      <w:r w:rsidR="006F306A" w:rsidRPr="00110F63">
        <w:rPr>
          <w:rFonts w:cstheme="minorHAnsi"/>
        </w:rPr>
        <w:t xml:space="preserve">to scope the body of literature pertaining to approaches to dietary intervention specifically </w:t>
      </w:r>
      <w:r w:rsidR="009D6E8F">
        <w:rPr>
          <w:rFonts w:cstheme="minorHAnsi"/>
        </w:rPr>
        <w:t>addressing eating problems caused by wearing dentures</w:t>
      </w:r>
      <w:r w:rsidR="009A1285">
        <w:rPr>
          <w:rFonts w:cstheme="minorHAnsi"/>
        </w:rPr>
        <w:t xml:space="preserve">. </w:t>
      </w:r>
    </w:p>
    <w:p w14:paraId="088AE560" w14:textId="77777777" w:rsidR="00605E1A" w:rsidRPr="00110F63" w:rsidRDefault="00605E1A" w:rsidP="00110F63">
      <w:pPr>
        <w:spacing w:line="276" w:lineRule="auto"/>
        <w:jc w:val="both"/>
        <w:rPr>
          <w:rFonts w:cstheme="minorHAnsi"/>
        </w:rPr>
      </w:pPr>
    </w:p>
    <w:p w14:paraId="494D4F90" w14:textId="051907FC" w:rsidR="0036369B" w:rsidRPr="00110F63" w:rsidRDefault="0036369B" w:rsidP="00110F63">
      <w:pPr>
        <w:spacing w:line="276" w:lineRule="auto"/>
        <w:jc w:val="both"/>
        <w:rPr>
          <w:rFonts w:cstheme="minorHAnsi"/>
        </w:rPr>
      </w:pPr>
      <w:r w:rsidRPr="00110F63">
        <w:rPr>
          <w:rFonts w:cstheme="minorHAnsi"/>
        </w:rPr>
        <w:t xml:space="preserve">The specific aims are: </w:t>
      </w:r>
    </w:p>
    <w:p w14:paraId="3750843A" w14:textId="26ED6A75" w:rsidR="009A1285" w:rsidRDefault="0036369B" w:rsidP="00110F63">
      <w:pPr>
        <w:pStyle w:val="ListParagraph"/>
        <w:numPr>
          <w:ilvl w:val="0"/>
          <w:numId w:val="1"/>
        </w:numPr>
        <w:spacing w:line="276" w:lineRule="auto"/>
        <w:jc w:val="both"/>
        <w:rPr>
          <w:rFonts w:cstheme="minorHAnsi"/>
        </w:rPr>
      </w:pPr>
      <w:r w:rsidRPr="00110F63">
        <w:rPr>
          <w:rFonts w:cstheme="minorHAnsi"/>
        </w:rPr>
        <w:t xml:space="preserve">To identify the types of </w:t>
      </w:r>
      <w:r w:rsidR="0088306E">
        <w:rPr>
          <w:rFonts w:cstheme="minorHAnsi"/>
        </w:rPr>
        <w:t>health education/intervention information available and whether it is evidence</w:t>
      </w:r>
      <w:r w:rsidR="00F9112E">
        <w:rPr>
          <w:rFonts w:cstheme="minorHAnsi"/>
        </w:rPr>
        <w:t>-</w:t>
      </w:r>
      <w:r w:rsidR="0088306E">
        <w:rPr>
          <w:rFonts w:cstheme="minorHAnsi"/>
        </w:rPr>
        <w:t>based</w:t>
      </w:r>
      <w:r w:rsidR="00CA0CD4">
        <w:rPr>
          <w:rFonts w:cstheme="minorHAnsi"/>
        </w:rPr>
        <w:t xml:space="preserve"> or based on clinical experience</w:t>
      </w:r>
    </w:p>
    <w:p w14:paraId="36625E3D" w14:textId="7DA219CF" w:rsidR="009A1285" w:rsidRPr="009A1285" w:rsidRDefault="009A1285" w:rsidP="00FA2EDB">
      <w:pPr>
        <w:pStyle w:val="ListParagraph"/>
        <w:numPr>
          <w:ilvl w:val="0"/>
          <w:numId w:val="1"/>
        </w:numPr>
        <w:spacing w:line="276" w:lineRule="auto"/>
        <w:jc w:val="both"/>
        <w:rPr>
          <w:rFonts w:cstheme="minorHAnsi"/>
        </w:rPr>
      </w:pPr>
      <w:r w:rsidRPr="009A1285">
        <w:rPr>
          <w:rFonts w:cstheme="minorHAnsi"/>
        </w:rPr>
        <w:t>to determine if the effectiveness of the advice available has been tested</w:t>
      </w:r>
    </w:p>
    <w:p w14:paraId="149080C0" w14:textId="42EAB9A4" w:rsidR="00057342" w:rsidRPr="00180AE2" w:rsidRDefault="0088306E" w:rsidP="00110F63">
      <w:pPr>
        <w:pStyle w:val="ListParagraph"/>
        <w:numPr>
          <w:ilvl w:val="0"/>
          <w:numId w:val="1"/>
        </w:numPr>
        <w:spacing w:line="276" w:lineRule="auto"/>
        <w:jc w:val="both"/>
        <w:rPr>
          <w:rFonts w:cstheme="minorHAnsi"/>
        </w:rPr>
      </w:pPr>
      <w:r w:rsidRPr="00110F63">
        <w:rPr>
          <w:rFonts w:cstheme="minorHAnsi"/>
        </w:rPr>
        <w:t xml:space="preserve">To </w:t>
      </w:r>
      <w:r>
        <w:rPr>
          <w:rFonts w:cstheme="minorHAnsi"/>
        </w:rPr>
        <w:t xml:space="preserve">identify the implications of the findings for </w:t>
      </w:r>
      <w:r w:rsidR="00180AE2">
        <w:rPr>
          <w:rFonts w:cstheme="minorHAnsi"/>
        </w:rPr>
        <w:t>evidence</w:t>
      </w:r>
      <w:r w:rsidR="006B31F8">
        <w:rPr>
          <w:rFonts w:cstheme="minorHAnsi"/>
        </w:rPr>
        <w:t>-</w:t>
      </w:r>
      <w:r w:rsidR="00180AE2">
        <w:rPr>
          <w:rFonts w:cstheme="minorHAnsi"/>
        </w:rPr>
        <w:t xml:space="preserve">based advice </w:t>
      </w:r>
      <w:r w:rsidR="00CA0CD4">
        <w:rPr>
          <w:rFonts w:cstheme="minorHAnsi"/>
        </w:rPr>
        <w:t xml:space="preserve">for improving eating experience with dentures </w:t>
      </w:r>
      <w:r w:rsidR="00180AE2">
        <w:rPr>
          <w:rFonts w:cstheme="minorHAnsi"/>
        </w:rPr>
        <w:t xml:space="preserve">in </w:t>
      </w:r>
      <w:r>
        <w:rPr>
          <w:rFonts w:cstheme="minorHAnsi"/>
        </w:rPr>
        <w:t>dental practi</w:t>
      </w:r>
      <w:r w:rsidR="009D6E8F">
        <w:rPr>
          <w:rFonts w:cstheme="minorHAnsi"/>
        </w:rPr>
        <w:t>ce</w:t>
      </w:r>
    </w:p>
    <w:p w14:paraId="47B0EE56" w14:textId="77777777" w:rsidR="00F738CC" w:rsidRDefault="00F738CC" w:rsidP="00180AE2">
      <w:pPr>
        <w:spacing w:line="276" w:lineRule="auto"/>
        <w:jc w:val="both"/>
        <w:rPr>
          <w:rFonts w:cs="HelveticaNeueLT Std Lt"/>
          <w:b/>
          <w:bCs/>
          <w:i/>
          <w:iCs/>
          <w:color w:val="000000"/>
        </w:rPr>
      </w:pPr>
    </w:p>
    <w:p w14:paraId="74B23ECA" w14:textId="22798347" w:rsidR="00180AE2" w:rsidRPr="00180AE2" w:rsidRDefault="00180AE2" w:rsidP="00180AE2">
      <w:pPr>
        <w:spacing w:line="276" w:lineRule="auto"/>
        <w:jc w:val="both"/>
        <w:rPr>
          <w:rFonts w:cstheme="minorHAnsi"/>
          <w:b/>
          <w:bCs/>
          <w:i/>
          <w:iCs/>
        </w:rPr>
      </w:pPr>
      <w:r w:rsidRPr="002419D8">
        <w:rPr>
          <w:rFonts w:cs="HelveticaNeueLT Std Lt"/>
          <w:color w:val="000000"/>
        </w:rPr>
        <w:t>A preliminary search for existing scoping reviews on the topic of</w:t>
      </w:r>
      <w:r w:rsidR="009D6E8F" w:rsidRPr="002419D8">
        <w:rPr>
          <w:rFonts w:cs="HelveticaNeueLT Std Lt"/>
          <w:color w:val="000000"/>
        </w:rPr>
        <w:t xml:space="preserve"> dietary interventions to address</w:t>
      </w:r>
      <w:r w:rsidRPr="002419D8">
        <w:rPr>
          <w:rFonts w:cs="HelveticaNeueLT Std Lt"/>
          <w:color w:val="000000"/>
        </w:rPr>
        <w:t xml:space="preserve"> eating </w:t>
      </w:r>
      <w:r w:rsidR="009D6E8F" w:rsidRPr="002419D8">
        <w:rPr>
          <w:rFonts w:cs="HelveticaNeueLT Std Lt"/>
          <w:color w:val="000000"/>
        </w:rPr>
        <w:t xml:space="preserve">problems </w:t>
      </w:r>
      <w:r w:rsidRPr="002419D8">
        <w:rPr>
          <w:rFonts w:cs="HelveticaNeueLT Std Lt"/>
          <w:color w:val="000000"/>
        </w:rPr>
        <w:t xml:space="preserve">with dentures </w:t>
      </w:r>
      <w:r w:rsidR="00A13E03" w:rsidRPr="002419D8">
        <w:rPr>
          <w:rFonts w:cs="HelveticaNeueLT Std Lt"/>
          <w:color w:val="000000"/>
        </w:rPr>
        <w:t>identified one systematic review on a related area (McGowan et al 2019). This systematic review</w:t>
      </w:r>
      <w:r w:rsidR="00BA1B9B" w:rsidRPr="002419D8">
        <w:rPr>
          <w:rFonts w:cs="HelveticaNeueLT Std Lt"/>
          <w:color w:val="000000"/>
        </w:rPr>
        <w:t xml:space="preserve"> explored evidence for the effectiveness of contemporaneous dietary and prosthetic rehab</w:t>
      </w:r>
      <w:r w:rsidR="002419D8">
        <w:rPr>
          <w:rFonts w:cs="HelveticaNeueLT Std Lt"/>
          <w:color w:val="000000"/>
        </w:rPr>
        <w:t>ilitation</w:t>
      </w:r>
      <w:r w:rsidR="00BA1B9B" w:rsidRPr="002419D8">
        <w:rPr>
          <w:rFonts w:cs="HelveticaNeueLT Std Lt"/>
          <w:color w:val="000000"/>
        </w:rPr>
        <w:t xml:space="preserve"> in edentulous and partially patients.  The current scoping review will </w:t>
      </w:r>
      <w:r w:rsidR="00B529C1" w:rsidRPr="002419D8">
        <w:rPr>
          <w:rFonts w:cs="HelveticaNeueLT Std Lt"/>
          <w:color w:val="000000"/>
        </w:rPr>
        <w:t>be broader through inclusion of grey literature</w:t>
      </w:r>
      <w:r w:rsidR="002419D8">
        <w:rPr>
          <w:rFonts w:cs="HelveticaNeueLT Std Lt"/>
          <w:color w:val="000000"/>
        </w:rPr>
        <w:t>. Moreover, it will</w:t>
      </w:r>
      <w:r w:rsidR="00B529C1" w:rsidRPr="002419D8">
        <w:rPr>
          <w:rFonts w:cs="HelveticaNeueLT Std Lt"/>
          <w:color w:val="000000"/>
        </w:rPr>
        <w:t xml:space="preserve"> </w:t>
      </w:r>
      <w:r w:rsidR="00BA1B9B" w:rsidRPr="002419D8">
        <w:rPr>
          <w:rFonts w:cs="HelveticaNeueLT Std Lt"/>
          <w:color w:val="000000"/>
        </w:rPr>
        <w:t>include dietary advice for existing denture wearers irrespective of whether it is delivered in conjunction with prosthetic rehabilitation. The current review will have a specific focus on intervention content and whether it is evidence</w:t>
      </w:r>
      <w:r w:rsidR="00F9112E">
        <w:rPr>
          <w:rFonts w:cs="HelveticaNeueLT Std Lt"/>
          <w:color w:val="000000"/>
        </w:rPr>
        <w:t>-</w:t>
      </w:r>
      <w:r w:rsidR="00BA1B9B" w:rsidRPr="002419D8">
        <w:rPr>
          <w:rFonts w:cs="HelveticaNeueLT Std Lt"/>
          <w:color w:val="000000"/>
        </w:rPr>
        <w:t>based (or experience</w:t>
      </w:r>
      <w:r w:rsidR="00F9112E">
        <w:rPr>
          <w:rFonts w:cs="HelveticaNeueLT Std Lt"/>
          <w:color w:val="000000"/>
        </w:rPr>
        <w:t>-</w:t>
      </w:r>
      <w:r w:rsidR="00BA1B9B" w:rsidRPr="002419D8">
        <w:rPr>
          <w:rFonts w:cs="HelveticaNeueLT Std Lt"/>
          <w:color w:val="000000"/>
        </w:rPr>
        <w:t>based).</w:t>
      </w:r>
      <w:r w:rsidRPr="00180AE2">
        <w:rPr>
          <w:rFonts w:cs="HelveticaNeueLT Std Lt"/>
          <w:b/>
          <w:bCs/>
          <w:i/>
          <w:iCs/>
          <w:color w:val="000000"/>
        </w:rPr>
        <w:t xml:space="preserve"> </w:t>
      </w:r>
    </w:p>
    <w:p w14:paraId="7FA77B74" w14:textId="77777777" w:rsidR="00180AE2" w:rsidRDefault="00180AE2" w:rsidP="00110F63">
      <w:pPr>
        <w:spacing w:line="276" w:lineRule="auto"/>
        <w:jc w:val="both"/>
        <w:rPr>
          <w:rFonts w:cstheme="minorHAnsi"/>
        </w:rPr>
      </w:pPr>
    </w:p>
    <w:p w14:paraId="3B0E3FD4" w14:textId="64D83E08" w:rsidR="009D6E8F" w:rsidRDefault="00057342" w:rsidP="00110F63">
      <w:pPr>
        <w:spacing w:line="276" w:lineRule="auto"/>
        <w:jc w:val="both"/>
        <w:rPr>
          <w:rFonts w:cstheme="minorHAnsi"/>
        </w:rPr>
      </w:pPr>
      <w:r w:rsidRPr="00110F63">
        <w:rPr>
          <w:rFonts w:cstheme="minorHAnsi"/>
        </w:rPr>
        <w:t xml:space="preserve">The overall review question is ‘What </w:t>
      </w:r>
      <w:r w:rsidR="009D6E8F">
        <w:rPr>
          <w:rFonts w:cstheme="minorHAnsi"/>
        </w:rPr>
        <w:t>eating advice/interventions exist</w:t>
      </w:r>
      <w:r w:rsidRPr="00110F63">
        <w:rPr>
          <w:rFonts w:cstheme="minorHAnsi"/>
        </w:rPr>
        <w:t xml:space="preserve"> that address</w:t>
      </w:r>
      <w:r w:rsidR="009D6E8F">
        <w:rPr>
          <w:rFonts w:cstheme="minorHAnsi"/>
        </w:rPr>
        <w:t xml:space="preserve"> </w:t>
      </w:r>
      <w:r w:rsidRPr="00110F63">
        <w:rPr>
          <w:rFonts w:cstheme="minorHAnsi"/>
        </w:rPr>
        <w:t xml:space="preserve">improving eating </w:t>
      </w:r>
      <w:r w:rsidR="009D6E8F">
        <w:rPr>
          <w:rFonts w:cstheme="minorHAnsi"/>
        </w:rPr>
        <w:t xml:space="preserve">ability </w:t>
      </w:r>
      <w:r w:rsidRPr="00110F63">
        <w:rPr>
          <w:rFonts w:cstheme="minorHAnsi"/>
        </w:rPr>
        <w:t>in denture wearers</w:t>
      </w:r>
      <w:r w:rsidR="009D6E8F">
        <w:rPr>
          <w:rFonts w:cstheme="minorHAnsi"/>
        </w:rPr>
        <w:t>?</w:t>
      </w:r>
      <w:r w:rsidR="00CA0CD4">
        <w:rPr>
          <w:rFonts w:cstheme="minorHAnsi"/>
        </w:rPr>
        <w:t xml:space="preserve"> </w:t>
      </w:r>
      <w:r w:rsidR="009D6E8F">
        <w:rPr>
          <w:rFonts w:cstheme="minorHAnsi"/>
        </w:rPr>
        <w:t xml:space="preserve">Secondary questions are: </w:t>
      </w:r>
    </w:p>
    <w:p w14:paraId="42BFB5AE" w14:textId="6F1BCD68" w:rsidR="009D6E8F" w:rsidRPr="00605E1A" w:rsidRDefault="00F9112E" w:rsidP="00605E1A">
      <w:pPr>
        <w:pStyle w:val="ListParagraph"/>
        <w:numPr>
          <w:ilvl w:val="0"/>
          <w:numId w:val="10"/>
        </w:numPr>
        <w:spacing w:line="276" w:lineRule="auto"/>
        <w:jc w:val="both"/>
        <w:rPr>
          <w:rFonts w:cstheme="minorHAnsi"/>
        </w:rPr>
      </w:pPr>
      <w:r w:rsidRPr="00605E1A">
        <w:rPr>
          <w:rFonts w:cstheme="minorHAnsi"/>
        </w:rPr>
        <w:t>I</w:t>
      </w:r>
      <w:r w:rsidR="009D6E8F" w:rsidRPr="00605E1A">
        <w:rPr>
          <w:rFonts w:cstheme="minorHAnsi"/>
        </w:rPr>
        <w:t>s the advice based</w:t>
      </w:r>
      <w:r w:rsidR="00CA0CD4" w:rsidRPr="00605E1A">
        <w:rPr>
          <w:rFonts w:cstheme="minorHAnsi"/>
        </w:rPr>
        <w:t xml:space="preserve"> on scientific evidence or clinical experience (or both)</w:t>
      </w:r>
      <w:r w:rsidR="009D6E8F" w:rsidRPr="00605E1A">
        <w:rPr>
          <w:rFonts w:cstheme="minorHAnsi"/>
        </w:rPr>
        <w:t xml:space="preserve">?  </w:t>
      </w:r>
    </w:p>
    <w:p w14:paraId="7A6091B1" w14:textId="539E9311" w:rsidR="00057342" w:rsidRPr="00F9112E" w:rsidRDefault="009A1285" w:rsidP="00605E1A">
      <w:pPr>
        <w:pStyle w:val="ListParagraph"/>
        <w:numPr>
          <w:ilvl w:val="0"/>
          <w:numId w:val="10"/>
        </w:numPr>
        <w:spacing w:line="276" w:lineRule="auto"/>
        <w:jc w:val="both"/>
        <w:rPr>
          <w:rFonts w:cstheme="minorHAnsi"/>
        </w:rPr>
      </w:pPr>
      <w:r>
        <w:rPr>
          <w:rFonts w:cstheme="minorHAnsi"/>
        </w:rPr>
        <w:t xml:space="preserve">to what extent has the </w:t>
      </w:r>
      <w:r w:rsidR="009D6E8F" w:rsidRPr="00F9112E">
        <w:rPr>
          <w:rFonts w:cstheme="minorHAnsi"/>
        </w:rPr>
        <w:t xml:space="preserve">effectiveness of this advice/intervention </w:t>
      </w:r>
      <w:r w:rsidR="00CA0CD4" w:rsidRPr="00F9112E">
        <w:rPr>
          <w:rFonts w:cstheme="minorHAnsi"/>
        </w:rPr>
        <w:t>(</w:t>
      </w:r>
      <w:r w:rsidR="00605E1A" w:rsidRPr="00F9112E">
        <w:rPr>
          <w:rFonts w:cstheme="minorHAnsi"/>
        </w:rPr>
        <w:t>e.g.,</w:t>
      </w:r>
      <w:r w:rsidR="00CA0CD4" w:rsidRPr="00F9112E">
        <w:rPr>
          <w:rFonts w:cstheme="minorHAnsi"/>
        </w:rPr>
        <w:t xml:space="preserve"> on eating ability,</w:t>
      </w:r>
      <w:r>
        <w:rPr>
          <w:rFonts w:cstheme="minorHAnsi"/>
        </w:rPr>
        <w:t xml:space="preserve"> user experience,</w:t>
      </w:r>
      <w:r w:rsidR="00CA0CD4" w:rsidRPr="00F9112E">
        <w:rPr>
          <w:rFonts w:cstheme="minorHAnsi"/>
        </w:rPr>
        <w:t xml:space="preserve"> dietary intake</w:t>
      </w:r>
      <w:r>
        <w:rPr>
          <w:rFonts w:cstheme="minorHAnsi"/>
        </w:rPr>
        <w:t>, cost effectiveness</w:t>
      </w:r>
      <w:r w:rsidR="00CA0CD4" w:rsidRPr="00F9112E">
        <w:rPr>
          <w:rFonts w:cstheme="minorHAnsi"/>
        </w:rPr>
        <w:t xml:space="preserve">) </w:t>
      </w:r>
      <w:r w:rsidR="009D6E8F" w:rsidRPr="00F9112E">
        <w:rPr>
          <w:rFonts w:cstheme="minorHAnsi"/>
        </w:rPr>
        <w:t xml:space="preserve">been </w:t>
      </w:r>
      <w:r>
        <w:rPr>
          <w:rFonts w:cstheme="minorHAnsi"/>
        </w:rPr>
        <w:t>evaluated and what type of evaluation measures have been used.</w:t>
      </w:r>
      <w:r w:rsidR="00057342" w:rsidRPr="00F9112E">
        <w:rPr>
          <w:rFonts w:cstheme="minorHAnsi"/>
        </w:rPr>
        <w:t xml:space="preserve"> </w:t>
      </w:r>
    </w:p>
    <w:p w14:paraId="007CDBA1" w14:textId="7857491F" w:rsidR="006F306A" w:rsidRPr="00110F63" w:rsidRDefault="006F306A" w:rsidP="00110F63">
      <w:pPr>
        <w:spacing w:line="276" w:lineRule="auto"/>
        <w:jc w:val="both"/>
        <w:rPr>
          <w:rFonts w:cstheme="minorHAnsi"/>
        </w:rPr>
      </w:pPr>
    </w:p>
    <w:p w14:paraId="54D1E703" w14:textId="55B26675" w:rsidR="0036369B" w:rsidRPr="00A12D15" w:rsidRDefault="00A12D15" w:rsidP="00110F63">
      <w:pPr>
        <w:spacing w:line="276" w:lineRule="auto"/>
        <w:jc w:val="both"/>
        <w:rPr>
          <w:rFonts w:cstheme="minorHAnsi"/>
          <w:b/>
          <w:bCs/>
        </w:rPr>
      </w:pPr>
      <w:r w:rsidRPr="00A12D15">
        <w:rPr>
          <w:rFonts w:cstheme="minorHAnsi"/>
        </w:rPr>
        <w:t xml:space="preserve">The </w:t>
      </w:r>
      <w:r w:rsidR="0036369B" w:rsidRPr="00110F63">
        <w:rPr>
          <w:rFonts w:cstheme="minorHAnsi"/>
          <w:b/>
          <w:bCs/>
        </w:rPr>
        <w:t>objective</w:t>
      </w:r>
      <w:r>
        <w:rPr>
          <w:rFonts w:cstheme="minorHAnsi"/>
          <w:b/>
          <w:bCs/>
        </w:rPr>
        <w:t xml:space="preserve"> </w:t>
      </w:r>
      <w:r w:rsidRPr="00A12D15">
        <w:rPr>
          <w:rFonts w:cstheme="minorHAnsi"/>
        </w:rPr>
        <w:t xml:space="preserve">is to </w:t>
      </w:r>
      <w:r w:rsidR="00C73A92" w:rsidRPr="00A12D15">
        <w:rPr>
          <w:rFonts w:cstheme="minorHAnsi"/>
        </w:rPr>
        <w:t>examine</w:t>
      </w:r>
      <w:r w:rsidR="00C73A92">
        <w:rPr>
          <w:rFonts w:cstheme="minorHAnsi"/>
        </w:rPr>
        <w:t xml:space="preserve"> and map</w:t>
      </w:r>
      <w:r w:rsidR="006F306A" w:rsidRPr="00110F63">
        <w:rPr>
          <w:rFonts w:cstheme="minorHAnsi"/>
        </w:rPr>
        <w:t xml:space="preserve"> existing </w:t>
      </w:r>
      <w:r w:rsidR="00C73A92">
        <w:rPr>
          <w:rFonts w:cstheme="minorHAnsi"/>
        </w:rPr>
        <w:t xml:space="preserve">information on eating advice </w:t>
      </w:r>
      <w:r w:rsidR="00CA0CD4">
        <w:rPr>
          <w:rFonts w:cstheme="minorHAnsi"/>
        </w:rPr>
        <w:t>to address problems eating with</w:t>
      </w:r>
      <w:r w:rsidR="00C73A92">
        <w:rPr>
          <w:rFonts w:cstheme="minorHAnsi"/>
        </w:rPr>
        <w:t xml:space="preserve"> dentures regarding</w:t>
      </w:r>
      <w:r w:rsidR="0036369B" w:rsidRPr="00110F63">
        <w:rPr>
          <w:rFonts w:cstheme="minorHAnsi"/>
        </w:rPr>
        <w:t>:</w:t>
      </w:r>
    </w:p>
    <w:p w14:paraId="51029E81" w14:textId="11E8BEAB" w:rsidR="0036369B" w:rsidRPr="00110F63" w:rsidRDefault="00F9112E" w:rsidP="00110F63">
      <w:pPr>
        <w:pStyle w:val="ListParagraph"/>
        <w:numPr>
          <w:ilvl w:val="0"/>
          <w:numId w:val="2"/>
        </w:numPr>
        <w:spacing w:line="276" w:lineRule="auto"/>
        <w:jc w:val="both"/>
        <w:rPr>
          <w:rFonts w:cstheme="minorHAnsi"/>
        </w:rPr>
      </w:pPr>
      <w:r>
        <w:rPr>
          <w:rFonts w:cstheme="minorHAnsi"/>
        </w:rPr>
        <w:t>T</w:t>
      </w:r>
      <w:r w:rsidR="0036369B" w:rsidRPr="00110F63">
        <w:rPr>
          <w:rFonts w:cstheme="minorHAnsi"/>
        </w:rPr>
        <w:t xml:space="preserve">ypes and volume of </w:t>
      </w:r>
      <w:r w:rsidR="007F16D4">
        <w:rPr>
          <w:rFonts w:cstheme="minorHAnsi"/>
        </w:rPr>
        <w:t>information</w:t>
      </w:r>
    </w:p>
    <w:p w14:paraId="290467B1" w14:textId="4F6208DF" w:rsidR="0036369B" w:rsidRPr="00110F63" w:rsidRDefault="00F9112E" w:rsidP="00110F63">
      <w:pPr>
        <w:pStyle w:val="ListParagraph"/>
        <w:numPr>
          <w:ilvl w:val="0"/>
          <w:numId w:val="2"/>
        </w:numPr>
        <w:spacing w:line="276" w:lineRule="auto"/>
        <w:jc w:val="both"/>
        <w:rPr>
          <w:rFonts w:cstheme="minorHAnsi"/>
        </w:rPr>
      </w:pPr>
      <w:r>
        <w:rPr>
          <w:rFonts w:cstheme="minorHAnsi"/>
        </w:rPr>
        <w:t>G</w:t>
      </w:r>
      <w:r w:rsidR="006F306A" w:rsidRPr="00110F63">
        <w:rPr>
          <w:rFonts w:cstheme="minorHAnsi"/>
        </w:rPr>
        <w:t>eographical location</w:t>
      </w:r>
      <w:r w:rsidR="0036369B" w:rsidRPr="00110F63">
        <w:rPr>
          <w:rFonts w:cstheme="minorHAnsi"/>
        </w:rPr>
        <w:t xml:space="preserve"> (country)</w:t>
      </w:r>
    </w:p>
    <w:p w14:paraId="1D5C7E8C" w14:textId="08081570" w:rsidR="0036369B" w:rsidRPr="00110F63" w:rsidRDefault="00F9112E" w:rsidP="00110F63">
      <w:pPr>
        <w:pStyle w:val="ListParagraph"/>
        <w:numPr>
          <w:ilvl w:val="0"/>
          <w:numId w:val="2"/>
        </w:numPr>
        <w:spacing w:line="276" w:lineRule="auto"/>
        <w:jc w:val="both"/>
        <w:rPr>
          <w:rFonts w:cstheme="minorHAnsi"/>
        </w:rPr>
      </w:pPr>
      <w:r>
        <w:rPr>
          <w:rFonts w:cstheme="minorHAnsi"/>
        </w:rPr>
        <w:t>O</w:t>
      </w:r>
      <w:r w:rsidR="006F306A" w:rsidRPr="00110F63">
        <w:rPr>
          <w:rFonts w:cstheme="minorHAnsi"/>
        </w:rPr>
        <w:t>rigin (</w:t>
      </w:r>
      <w:r w:rsidRPr="00110F63">
        <w:rPr>
          <w:rFonts w:cstheme="minorHAnsi"/>
        </w:rPr>
        <w:t>i.e.,</w:t>
      </w:r>
      <w:r w:rsidR="006F306A" w:rsidRPr="00110F63">
        <w:rPr>
          <w:rFonts w:cstheme="minorHAnsi"/>
        </w:rPr>
        <w:t xml:space="preserve"> </w:t>
      </w:r>
      <w:r w:rsidR="0036369B" w:rsidRPr="00110F63">
        <w:rPr>
          <w:rFonts w:cstheme="minorHAnsi"/>
        </w:rPr>
        <w:t xml:space="preserve">place of intervention </w:t>
      </w:r>
      <w:r w:rsidR="006F306A" w:rsidRPr="00110F63">
        <w:rPr>
          <w:rFonts w:cstheme="minorHAnsi"/>
        </w:rPr>
        <w:t xml:space="preserve">dental practice, general health care, </w:t>
      </w:r>
      <w:r w:rsidR="00833AAD" w:rsidRPr="00110F63">
        <w:rPr>
          <w:rFonts w:cstheme="minorHAnsi"/>
        </w:rPr>
        <w:t>online advice</w:t>
      </w:r>
      <w:r w:rsidR="006F306A" w:rsidRPr="00110F63">
        <w:rPr>
          <w:rFonts w:cstheme="minorHAnsi"/>
        </w:rPr>
        <w:t>)</w:t>
      </w:r>
    </w:p>
    <w:p w14:paraId="02E6BE64" w14:textId="437B436B" w:rsidR="006F306A" w:rsidRPr="00110F63" w:rsidRDefault="00F9112E" w:rsidP="00110F63">
      <w:pPr>
        <w:pStyle w:val="ListParagraph"/>
        <w:numPr>
          <w:ilvl w:val="0"/>
          <w:numId w:val="2"/>
        </w:numPr>
        <w:spacing w:line="276" w:lineRule="auto"/>
        <w:jc w:val="both"/>
        <w:rPr>
          <w:rFonts w:cstheme="minorHAnsi"/>
        </w:rPr>
      </w:pPr>
      <w:r>
        <w:rPr>
          <w:rFonts w:cstheme="minorHAnsi"/>
        </w:rPr>
        <w:t>M</w:t>
      </w:r>
      <w:r w:rsidR="0036369B" w:rsidRPr="00110F63">
        <w:rPr>
          <w:rFonts w:cstheme="minorHAnsi"/>
        </w:rPr>
        <w:t>ode</w:t>
      </w:r>
      <w:r w:rsidR="00412B52">
        <w:rPr>
          <w:rFonts w:cstheme="minorHAnsi"/>
        </w:rPr>
        <w:t>,</w:t>
      </w:r>
      <w:r w:rsidR="0036369B" w:rsidRPr="00110F63">
        <w:rPr>
          <w:rFonts w:cstheme="minorHAnsi"/>
        </w:rPr>
        <w:t xml:space="preserve"> place and means of delivery of intervention</w:t>
      </w:r>
    </w:p>
    <w:p w14:paraId="3AC59239" w14:textId="1172C1C9" w:rsidR="0036369B" w:rsidRDefault="00F9112E" w:rsidP="00110F63">
      <w:pPr>
        <w:pStyle w:val="ListParagraph"/>
        <w:numPr>
          <w:ilvl w:val="0"/>
          <w:numId w:val="2"/>
        </w:numPr>
        <w:spacing w:line="276" w:lineRule="auto"/>
        <w:jc w:val="both"/>
        <w:rPr>
          <w:rFonts w:cstheme="minorHAnsi"/>
        </w:rPr>
      </w:pPr>
      <w:r>
        <w:rPr>
          <w:rFonts w:cstheme="minorHAnsi"/>
        </w:rPr>
        <w:t>K</w:t>
      </w:r>
      <w:r w:rsidR="007D75CC" w:rsidRPr="00110F63">
        <w:rPr>
          <w:rFonts w:cstheme="minorHAnsi"/>
        </w:rPr>
        <w:t xml:space="preserve">ey </w:t>
      </w:r>
      <w:r w:rsidR="0036369B" w:rsidRPr="00110F63">
        <w:rPr>
          <w:rFonts w:cstheme="minorHAnsi"/>
        </w:rPr>
        <w:t>content (nutrition and behavioural</w:t>
      </w:r>
      <w:r w:rsidR="00E07462">
        <w:rPr>
          <w:rFonts w:cstheme="minorHAnsi"/>
        </w:rPr>
        <w:t>, evidence-based</w:t>
      </w:r>
      <w:r w:rsidR="0036369B" w:rsidRPr="00110F63">
        <w:rPr>
          <w:rFonts w:cstheme="minorHAnsi"/>
        </w:rPr>
        <w:t>) and intensity/frequency of delivery of intervention content</w:t>
      </w:r>
    </w:p>
    <w:p w14:paraId="7A80F93C" w14:textId="598D3D7B" w:rsidR="009A1285" w:rsidRPr="00110F63" w:rsidRDefault="009A1285" w:rsidP="00110F63">
      <w:pPr>
        <w:pStyle w:val="ListParagraph"/>
        <w:numPr>
          <w:ilvl w:val="0"/>
          <w:numId w:val="2"/>
        </w:numPr>
        <w:spacing w:line="276" w:lineRule="auto"/>
        <w:jc w:val="both"/>
        <w:rPr>
          <w:rFonts w:cstheme="minorHAnsi"/>
        </w:rPr>
      </w:pPr>
      <w:r>
        <w:rPr>
          <w:rFonts w:cstheme="minorHAnsi"/>
        </w:rPr>
        <w:t>means of evaluation</w:t>
      </w:r>
    </w:p>
    <w:p w14:paraId="21B0B4B4" w14:textId="77777777" w:rsidR="00883527" w:rsidRPr="00110F63" w:rsidRDefault="00883527" w:rsidP="00110F63">
      <w:pPr>
        <w:spacing w:line="276" w:lineRule="auto"/>
        <w:jc w:val="both"/>
        <w:rPr>
          <w:rFonts w:cstheme="minorHAnsi"/>
        </w:rPr>
      </w:pPr>
    </w:p>
    <w:p w14:paraId="625077A6" w14:textId="1DC3ABB7" w:rsidR="00C73A92" w:rsidRPr="00C73A92" w:rsidRDefault="00A12D15" w:rsidP="00110F63">
      <w:pPr>
        <w:spacing w:line="276" w:lineRule="auto"/>
        <w:jc w:val="both"/>
        <w:rPr>
          <w:rFonts w:cstheme="minorHAnsi"/>
          <w:b/>
          <w:bCs/>
          <w:u w:val="single"/>
        </w:rPr>
      </w:pPr>
      <w:r>
        <w:rPr>
          <w:rFonts w:cstheme="minorHAnsi"/>
          <w:b/>
          <w:bCs/>
          <w:u w:val="single"/>
        </w:rPr>
        <w:t>5</w:t>
      </w:r>
      <w:r w:rsidR="004A2C58">
        <w:rPr>
          <w:rFonts w:cstheme="minorHAnsi"/>
          <w:b/>
          <w:bCs/>
          <w:u w:val="single"/>
        </w:rPr>
        <w:t xml:space="preserve">. </w:t>
      </w:r>
      <w:r w:rsidR="00C73A92" w:rsidRPr="00C73A92">
        <w:rPr>
          <w:rFonts w:cstheme="minorHAnsi"/>
          <w:b/>
          <w:bCs/>
          <w:u w:val="single"/>
        </w:rPr>
        <w:t>Inclusion Criteria</w:t>
      </w:r>
    </w:p>
    <w:p w14:paraId="7417D65A" w14:textId="77777777" w:rsidR="00C73A92" w:rsidRDefault="00C73A92" w:rsidP="00110F63">
      <w:pPr>
        <w:spacing w:line="276" w:lineRule="auto"/>
        <w:jc w:val="both"/>
        <w:rPr>
          <w:rFonts w:cstheme="minorHAnsi"/>
          <w:b/>
          <w:bCs/>
        </w:rPr>
      </w:pPr>
    </w:p>
    <w:p w14:paraId="2FEAB589" w14:textId="6CE961AA" w:rsidR="00E45B2F" w:rsidRPr="004A2C58" w:rsidRDefault="004A2C58" w:rsidP="004A2C58">
      <w:pPr>
        <w:pStyle w:val="ListParagraph"/>
        <w:numPr>
          <w:ilvl w:val="0"/>
          <w:numId w:val="3"/>
        </w:numPr>
        <w:spacing w:line="276" w:lineRule="auto"/>
        <w:jc w:val="both"/>
        <w:rPr>
          <w:rFonts w:cstheme="minorHAnsi"/>
          <w:b/>
          <w:bCs/>
        </w:rPr>
      </w:pPr>
      <w:r>
        <w:rPr>
          <w:rFonts w:cstheme="minorHAnsi"/>
          <w:b/>
          <w:bCs/>
        </w:rPr>
        <w:t>Types of participants</w:t>
      </w:r>
    </w:p>
    <w:p w14:paraId="21DD1C56" w14:textId="2D2FC371" w:rsidR="00110F63" w:rsidRPr="00977F81" w:rsidRDefault="007F16D4" w:rsidP="00110F63">
      <w:pPr>
        <w:spacing w:line="276" w:lineRule="auto"/>
        <w:jc w:val="both"/>
        <w:rPr>
          <w:rFonts w:cstheme="minorHAnsi"/>
          <w:color w:val="000000" w:themeColor="text1"/>
        </w:rPr>
      </w:pPr>
      <w:r>
        <w:rPr>
          <w:rFonts w:cstheme="minorHAnsi"/>
        </w:rPr>
        <w:t xml:space="preserve">Health education information </w:t>
      </w:r>
      <w:r w:rsidR="00E07462">
        <w:rPr>
          <w:rFonts w:cstheme="minorHAnsi"/>
        </w:rPr>
        <w:t xml:space="preserve">or </w:t>
      </w:r>
      <w:r w:rsidR="00CA0CD4">
        <w:rPr>
          <w:rFonts w:cstheme="minorHAnsi"/>
        </w:rPr>
        <w:t>eating</w:t>
      </w:r>
      <w:r w:rsidR="00E07462">
        <w:rPr>
          <w:rFonts w:cstheme="minorHAnsi"/>
        </w:rPr>
        <w:t xml:space="preserve"> intervention </w:t>
      </w:r>
      <w:r>
        <w:rPr>
          <w:rFonts w:cstheme="minorHAnsi"/>
        </w:rPr>
        <w:t>targeted at a</w:t>
      </w:r>
      <w:r w:rsidR="00883527" w:rsidRPr="00110F63">
        <w:rPr>
          <w:rFonts w:cstheme="minorHAnsi"/>
        </w:rPr>
        <w:t>dult</w:t>
      </w:r>
      <w:r w:rsidR="001D3E69" w:rsidRPr="00110F63">
        <w:rPr>
          <w:rFonts w:cstheme="minorHAnsi"/>
        </w:rPr>
        <w:t xml:space="preserve"> </w:t>
      </w:r>
      <w:r w:rsidR="00605E1A" w:rsidRPr="00110F63">
        <w:rPr>
          <w:rFonts w:cstheme="minorHAnsi"/>
        </w:rPr>
        <w:t>male</w:t>
      </w:r>
      <w:r w:rsidR="001D3E69" w:rsidRPr="00110F63">
        <w:rPr>
          <w:rFonts w:cstheme="minorHAnsi"/>
        </w:rPr>
        <w:t xml:space="preserve"> and female</w:t>
      </w:r>
      <w:r w:rsidR="00605E1A">
        <w:rPr>
          <w:rFonts w:cstheme="minorHAnsi"/>
        </w:rPr>
        <w:t>s</w:t>
      </w:r>
      <w:r w:rsidR="001D3E69" w:rsidRPr="00110F63">
        <w:rPr>
          <w:rFonts w:cstheme="minorHAnsi"/>
        </w:rPr>
        <w:t xml:space="preserve">, </w:t>
      </w:r>
      <w:r w:rsidR="00AB7887" w:rsidRPr="00110F63">
        <w:rPr>
          <w:rFonts w:cstheme="minorHAnsi"/>
        </w:rPr>
        <w:t xml:space="preserve">aged 18 and over </w:t>
      </w:r>
      <w:r w:rsidR="00883527" w:rsidRPr="00110F63">
        <w:rPr>
          <w:rFonts w:cstheme="minorHAnsi"/>
        </w:rPr>
        <w:t xml:space="preserve">that </w:t>
      </w:r>
      <w:r w:rsidR="00833AAD" w:rsidRPr="00110F63">
        <w:rPr>
          <w:rFonts w:cstheme="minorHAnsi"/>
        </w:rPr>
        <w:t>wear dentures (convention or implant supported, full or partial)</w:t>
      </w:r>
      <w:r w:rsidR="00883527" w:rsidRPr="00110F63">
        <w:rPr>
          <w:rFonts w:cstheme="minorHAnsi"/>
        </w:rPr>
        <w:t xml:space="preserve"> from any country of the world</w:t>
      </w:r>
      <w:r w:rsidR="00605E1A">
        <w:rPr>
          <w:rFonts w:cstheme="minorHAnsi"/>
        </w:rPr>
        <w:t xml:space="preserve"> and includes n</w:t>
      </w:r>
      <w:r w:rsidR="00833AAD" w:rsidRPr="00110F63">
        <w:rPr>
          <w:rFonts w:cstheme="minorHAnsi"/>
        </w:rPr>
        <w:t>ew denture wearers and existing denture wearers of any duration.</w:t>
      </w:r>
      <w:r w:rsidR="00605E1A">
        <w:rPr>
          <w:rFonts w:cstheme="minorHAnsi"/>
        </w:rPr>
        <w:t xml:space="preserve"> </w:t>
      </w:r>
      <w:r w:rsidRPr="007F16D4">
        <w:rPr>
          <w:rFonts w:cstheme="minorHAnsi"/>
        </w:rPr>
        <w:t>Information and or interventions that are targeted at</w:t>
      </w:r>
      <w:r w:rsidR="00110F63" w:rsidRPr="007F16D4">
        <w:rPr>
          <w:rFonts w:cstheme="minorHAnsi"/>
        </w:rPr>
        <w:t xml:space="preserve"> p</w:t>
      </w:r>
      <w:r w:rsidR="00110F63" w:rsidRPr="007F16D4">
        <w:rPr>
          <w:rFonts w:cstheme="minorHAnsi"/>
          <w:color w:val="000000" w:themeColor="text1"/>
        </w:rPr>
        <w:t>atients</w:t>
      </w:r>
      <w:r w:rsidR="00110F63" w:rsidRPr="00110F63">
        <w:rPr>
          <w:rFonts w:cstheme="minorHAnsi"/>
          <w:color w:val="000000" w:themeColor="text1"/>
        </w:rPr>
        <w:t xml:space="preserve"> in acute hospital setting and people living in residential care where they do not have control over their food provision and or preparation</w:t>
      </w:r>
      <w:r>
        <w:rPr>
          <w:rFonts w:cstheme="minorHAnsi"/>
          <w:color w:val="000000" w:themeColor="text1"/>
        </w:rPr>
        <w:t xml:space="preserve"> are excluded.</w:t>
      </w:r>
    </w:p>
    <w:p w14:paraId="34A484EA" w14:textId="77777777" w:rsidR="00E45B2F" w:rsidRPr="00110F63" w:rsidRDefault="00E45B2F" w:rsidP="00110F63">
      <w:pPr>
        <w:spacing w:line="276" w:lineRule="auto"/>
        <w:jc w:val="both"/>
        <w:rPr>
          <w:rFonts w:cstheme="minorHAnsi"/>
        </w:rPr>
      </w:pPr>
    </w:p>
    <w:p w14:paraId="5D7E2D2F" w14:textId="4382A773" w:rsidR="00E45B2F" w:rsidRPr="004A2C58" w:rsidRDefault="00883527" w:rsidP="004A2C58">
      <w:pPr>
        <w:pStyle w:val="ListParagraph"/>
        <w:numPr>
          <w:ilvl w:val="0"/>
          <w:numId w:val="3"/>
        </w:numPr>
        <w:spacing w:line="276" w:lineRule="auto"/>
        <w:jc w:val="both"/>
        <w:rPr>
          <w:rFonts w:cstheme="minorHAnsi"/>
          <w:b/>
          <w:bCs/>
        </w:rPr>
      </w:pPr>
      <w:r w:rsidRPr="004A2C58">
        <w:rPr>
          <w:rFonts w:cstheme="minorHAnsi"/>
          <w:b/>
          <w:bCs/>
        </w:rPr>
        <w:t>Concept</w:t>
      </w:r>
    </w:p>
    <w:p w14:paraId="784613E6" w14:textId="3DF9B445" w:rsidR="00883527" w:rsidRPr="00110F63" w:rsidRDefault="00CA0CD4" w:rsidP="00110F63">
      <w:pPr>
        <w:spacing w:line="276" w:lineRule="auto"/>
        <w:jc w:val="both"/>
        <w:rPr>
          <w:rFonts w:cstheme="minorHAnsi"/>
        </w:rPr>
      </w:pPr>
      <w:r>
        <w:rPr>
          <w:rFonts w:cstheme="minorHAnsi"/>
        </w:rPr>
        <w:t>Eating/dietary advice/</w:t>
      </w:r>
      <w:r w:rsidR="00883527" w:rsidRPr="00110F63">
        <w:rPr>
          <w:rFonts w:cstheme="minorHAnsi"/>
        </w:rPr>
        <w:t>intervention specifically targeted at people who wear dentures</w:t>
      </w:r>
      <w:r w:rsidR="00E45B2F" w:rsidRPr="00110F63">
        <w:rPr>
          <w:rFonts w:cstheme="minorHAnsi"/>
        </w:rPr>
        <w:t xml:space="preserve"> including one</w:t>
      </w:r>
      <w:r w:rsidR="00F9112E">
        <w:rPr>
          <w:rFonts w:cstheme="minorHAnsi"/>
        </w:rPr>
        <w:t>-</w:t>
      </w:r>
      <w:r w:rsidR="00E45B2F" w:rsidRPr="00110F63">
        <w:rPr>
          <w:rFonts w:cstheme="minorHAnsi"/>
        </w:rPr>
        <w:t>to</w:t>
      </w:r>
      <w:r w:rsidR="00F9112E">
        <w:rPr>
          <w:rFonts w:cstheme="minorHAnsi"/>
        </w:rPr>
        <w:t>-</w:t>
      </w:r>
      <w:r w:rsidR="00E45B2F" w:rsidRPr="00110F63">
        <w:rPr>
          <w:rFonts w:cstheme="minorHAnsi"/>
        </w:rPr>
        <w:t>one counselling</w:t>
      </w:r>
      <w:r>
        <w:rPr>
          <w:rFonts w:cstheme="minorHAnsi"/>
        </w:rPr>
        <w:t xml:space="preserve"> and the </w:t>
      </w:r>
      <w:r w:rsidR="00E45B2F" w:rsidRPr="00110F63">
        <w:rPr>
          <w:rFonts w:cstheme="minorHAnsi"/>
        </w:rPr>
        <w:t xml:space="preserve">provision of information </w:t>
      </w:r>
      <w:r>
        <w:rPr>
          <w:rFonts w:cstheme="minorHAnsi"/>
        </w:rPr>
        <w:t>through written materials and</w:t>
      </w:r>
      <w:r w:rsidR="00E45B2F" w:rsidRPr="00110F63">
        <w:rPr>
          <w:rFonts w:cstheme="minorHAnsi"/>
        </w:rPr>
        <w:t xml:space="preserve"> website</w:t>
      </w:r>
      <w:r w:rsidR="00605E1A">
        <w:rPr>
          <w:rFonts w:cstheme="minorHAnsi"/>
        </w:rPr>
        <w:t>s.</w:t>
      </w:r>
    </w:p>
    <w:p w14:paraId="6C4E2730" w14:textId="77777777" w:rsidR="001D3E69" w:rsidRPr="00110F63" w:rsidRDefault="001D3E69" w:rsidP="00110F63">
      <w:pPr>
        <w:spacing w:line="276" w:lineRule="auto"/>
        <w:jc w:val="both"/>
        <w:rPr>
          <w:rFonts w:cstheme="minorHAnsi"/>
        </w:rPr>
      </w:pPr>
    </w:p>
    <w:p w14:paraId="0693BB96" w14:textId="3FC0B140" w:rsidR="001D3E69" w:rsidRPr="00110F63" w:rsidRDefault="00833AAD" w:rsidP="00110F63">
      <w:pPr>
        <w:spacing w:line="276" w:lineRule="auto"/>
        <w:jc w:val="both"/>
        <w:rPr>
          <w:rFonts w:cstheme="minorHAnsi"/>
        </w:rPr>
      </w:pPr>
      <w:r w:rsidRPr="00110F63">
        <w:rPr>
          <w:rFonts w:cstheme="minorHAnsi"/>
          <w:b/>
          <w:bCs/>
          <w:i/>
          <w:iCs/>
        </w:rPr>
        <w:t>Includ</w:t>
      </w:r>
      <w:r w:rsidR="001D3E69" w:rsidRPr="00110F63">
        <w:rPr>
          <w:rFonts w:cstheme="minorHAnsi"/>
          <w:b/>
          <w:bCs/>
          <w:i/>
          <w:iCs/>
        </w:rPr>
        <w:t>ing</w:t>
      </w:r>
      <w:r w:rsidR="001D3E69" w:rsidRPr="00110F63">
        <w:rPr>
          <w:rFonts w:cstheme="minorHAnsi"/>
        </w:rPr>
        <w:t xml:space="preserve">: </w:t>
      </w:r>
      <w:r w:rsidR="006B31F8">
        <w:rPr>
          <w:rFonts w:cstheme="minorHAnsi"/>
        </w:rPr>
        <w:t>F</w:t>
      </w:r>
      <w:r w:rsidRPr="00110F63">
        <w:rPr>
          <w:rFonts w:cstheme="minorHAnsi"/>
        </w:rPr>
        <w:t>ood</w:t>
      </w:r>
      <w:r w:rsidR="00977F81">
        <w:rPr>
          <w:rFonts w:cstheme="minorHAnsi"/>
        </w:rPr>
        <w:t>-</w:t>
      </w:r>
      <w:r w:rsidRPr="00110F63">
        <w:rPr>
          <w:rFonts w:cstheme="minorHAnsi"/>
        </w:rPr>
        <w:t>based intervention</w:t>
      </w:r>
      <w:r w:rsidR="001D3E69" w:rsidRPr="00110F63">
        <w:rPr>
          <w:rFonts w:cstheme="minorHAnsi"/>
        </w:rPr>
        <w:t xml:space="preserve"> aim</w:t>
      </w:r>
      <w:r w:rsidR="00605E1A">
        <w:rPr>
          <w:rFonts w:cstheme="minorHAnsi"/>
        </w:rPr>
        <w:t>ed</w:t>
      </w:r>
      <w:r w:rsidR="001D3E69" w:rsidRPr="00110F63">
        <w:rPr>
          <w:rFonts w:cstheme="minorHAnsi"/>
        </w:rPr>
        <w:t xml:space="preserve"> at overcoming eating problems inherent </w:t>
      </w:r>
      <w:r w:rsidR="00605E1A">
        <w:rPr>
          <w:rFonts w:cstheme="minorHAnsi"/>
        </w:rPr>
        <w:t>to</w:t>
      </w:r>
      <w:r w:rsidR="001D3E69" w:rsidRPr="00110F63">
        <w:rPr>
          <w:rFonts w:cstheme="minorHAnsi"/>
        </w:rPr>
        <w:t xml:space="preserve"> wearing dentures. </w:t>
      </w:r>
    </w:p>
    <w:p w14:paraId="2CC8D6E8" w14:textId="77777777" w:rsidR="001D3E69" w:rsidRPr="00110F63" w:rsidRDefault="001D3E69" w:rsidP="00110F63">
      <w:pPr>
        <w:spacing w:line="276" w:lineRule="auto"/>
        <w:jc w:val="both"/>
        <w:rPr>
          <w:rFonts w:cstheme="minorHAnsi"/>
        </w:rPr>
      </w:pPr>
    </w:p>
    <w:p w14:paraId="7B206BA9" w14:textId="77777777" w:rsidR="00F738CC" w:rsidRDefault="001D3E69" w:rsidP="00110F63">
      <w:pPr>
        <w:spacing w:line="276" w:lineRule="auto"/>
        <w:jc w:val="both"/>
        <w:rPr>
          <w:rFonts w:cstheme="minorHAnsi"/>
          <w:color w:val="000000" w:themeColor="text1"/>
        </w:rPr>
      </w:pPr>
      <w:r w:rsidRPr="00110F63">
        <w:rPr>
          <w:rFonts w:cstheme="minorHAnsi"/>
          <w:b/>
          <w:bCs/>
          <w:i/>
          <w:iCs/>
        </w:rPr>
        <w:t>Excluded</w:t>
      </w:r>
      <w:r w:rsidRPr="00110F63">
        <w:rPr>
          <w:rFonts w:cstheme="minorHAnsi"/>
        </w:rPr>
        <w:t xml:space="preserve"> are </w:t>
      </w:r>
      <w:r w:rsidR="00833AAD" w:rsidRPr="00110F63">
        <w:rPr>
          <w:rFonts w:cstheme="minorHAnsi"/>
        </w:rPr>
        <w:t>i</w:t>
      </w:r>
      <w:r w:rsidR="00833AAD" w:rsidRPr="00110F63">
        <w:rPr>
          <w:rFonts w:cstheme="minorHAnsi"/>
          <w:color w:val="000000" w:themeColor="text1"/>
        </w:rPr>
        <w:t>nterventions based exclusively on</w:t>
      </w:r>
      <w:r w:rsidR="00F738CC">
        <w:rPr>
          <w:rFonts w:cstheme="minorHAnsi"/>
          <w:color w:val="000000" w:themeColor="text1"/>
        </w:rPr>
        <w:t>:</w:t>
      </w:r>
    </w:p>
    <w:p w14:paraId="29D2FBC3" w14:textId="6E8F6354" w:rsidR="00F738CC" w:rsidRPr="00605E1A" w:rsidRDefault="00F738CC" w:rsidP="00605E1A">
      <w:pPr>
        <w:pStyle w:val="ListParagraph"/>
        <w:numPr>
          <w:ilvl w:val="0"/>
          <w:numId w:val="12"/>
        </w:numPr>
        <w:spacing w:line="276" w:lineRule="auto"/>
        <w:jc w:val="both"/>
        <w:rPr>
          <w:rFonts w:cstheme="minorHAnsi"/>
          <w:color w:val="000000" w:themeColor="text1"/>
        </w:rPr>
      </w:pPr>
      <w:r w:rsidRPr="00605E1A">
        <w:rPr>
          <w:rFonts w:cstheme="minorHAnsi"/>
          <w:color w:val="000000" w:themeColor="text1"/>
        </w:rPr>
        <w:t>Provision of healthy eating advice</w:t>
      </w:r>
    </w:p>
    <w:p w14:paraId="17C3ECCE" w14:textId="4CECE16F" w:rsidR="00833AAD" w:rsidRPr="00605E1A" w:rsidRDefault="00F738CC" w:rsidP="00605E1A">
      <w:pPr>
        <w:pStyle w:val="ListParagraph"/>
        <w:numPr>
          <w:ilvl w:val="0"/>
          <w:numId w:val="12"/>
        </w:numPr>
        <w:spacing w:line="276" w:lineRule="auto"/>
        <w:jc w:val="both"/>
        <w:rPr>
          <w:rFonts w:cstheme="minorHAnsi"/>
        </w:rPr>
      </w:pPr>
      <w:r w:rsidRPr="00605E1A">
        <w:rPr>
          <w:rFonts w:cstheme="minorHAnsi"/>
          <w:color w:val="000000" w:themeColor="text1"/>
        </w:rPr>
        <w:t>P</w:t>
      </w:r>
      <w:r w:rsidR="00833AAD" w:rsidRPr="00605E1A">
        <w:rPr>
          <w:rFonts w:cstheme="minorHAnsi"/>
          <w:color w:val="000000" w:themeColor="text1"/>
        </w:rPr>
        <w:t>rovision of nutritional supplements</w:t>
      </w:r>
      <w:r w:rsidR="001D3E69" w:rsidRPr="00605E1A">
        <w:rPr>
          <w:rFonts w:cstheme="minorHAnsi"/>
          <w:color w:val="000000" w:themeColor="text1"/>
        </w:rPr>
        <w:t>, enteral and parenteral nutritional support</w:t>
      </w:r>
    </w:p>
    <w:p w14:paraId="391EC6D9" w14:textId="38C22AE9" w:rsidR="00E45B2F" w:rsidRPr="00110F63" w:rsidRDefault="00E45B2F" w:rsidP="00110F63">
      <w:pPr>
        <w:spacing w:line="276" w:lineRule="auto"/>
        <w:jc w:val="both"/>
        <w:rPr>
          <w:rFonts w:cstheme="minorHAnsi"/>
        </w:rPr>
      </w:pPr>
    </w:p>
    <w:p w14:paraId="7F87454D" w14:textId="297CDCD7" w:rsidR="00E45B2F" w:rsidRPr="004A2C58" w:rsidRDefault="00883527" w:rsidP="004A2C58">
      <w:pPr>
        <w:pStyle w:val="ListParagraph"/>
        <w:numPr>
          <w:ilvl w:val="0"/>
          <w:numId w:val="3"/>
        </w:numPr>
        <w:spacing w:line="276" w:lineRule="auto"/>
        <w:jc w:val="both"/>
        <w:rPr>
          <w:rFonts w:cstheme="minorHAnsi"/>
          <w:b/>
          <w:bCs/>
        </w:rPr>
      </w:pPr>
      <w:r w:rsidRPr="004A2C58">
        <w:rPr>
          <w:rFonts w:cstheme="minorHAnsi"/>
          <w:b/>
          <w:bCs/>
        </w:rPr>
        <w:t>Context</w:t>
      </w:r>
    </w:p>
    <w:p w14:paraId="7070EDC4" w14:textId="2C8229DE" w:rsidR="00E45B2F" w:rsidRPr="00110F63" w:rsidRDefault="00E45B2F" w:rsidP="00110F63">
      <w:pPr>
        <w:spacing w:line="276" w:lineRule="auto"/>
        <w:jc w:val="both"/>
        <w:rPr>
          <w:rFonts w:cstheme="minorHAnsi"/>
        </w:rPr>
      </w:pPr>
      <w:r w:rsidRPr="00110F63">
        <w:rPr>
          <w:rFonts w:cstheme="minorHAnsi"/>
        </w:rPr>
        <w:t>Global</w:t>
      </w:r>
      <w:r w:rsidR="004A2C58">
        <w:rPr>
          <w:rFonts w:cstheme="minorHAnsi"/>
        </w:rPr>
        <w:t>, healthcare settings (non-acute), online website providing health</w:t>
      </w:r>
      <w:r w:rsidR="00F9112E">
        <w:rPr>
          <w:rFonts w:cstheme="minorHAnsi"/>
        </w:rPr>
        <w:t xml:space="preserve"> </w:t>
      </w:r>
      <w:r w:rsidR="004A2C58">
        <w:rPr>
          <w:rFonts w:cstheme="minorHAnsi"/>
        </w:rPr>
        <w:t>education information on the topic.</w:t>
      </w:r>
    </w:p>
    <w:p w14:paraId="219D6DB9" w14:textId="712D249E" w:rsidR="000C5FAC" w:rsidRPr="00110F63" w:rsidRDefault="000C5FAC" w:rsidP="00110F63">
      <w:pPr>
        <w:spacing w:line="276" w:lineRule="auto"/>
        <w:jc w:val="both"/>
        <w:rPr>
          <w:rFonts w:cstheme="minorHAnsi"/>
          <w:color w:val="000000" w:themeColor="text1"/>
        </w:rPr>
      </w:pPr>
    </w:p>
    <w:p w14:paraId="525CEA8C" w14:textId="5A527FBB" w:rsidR="004A2C58" w:rsidRPr="004A2C58" w:rsidRDefault="00A12D15" w:rsidP="00110F63">
      <w:pPr>
        <w:spacing w:line="276" w:lineRule="auto"/>
        <w:jc w:val="both"/>
        <w:rPr>
          <w:rFonts w:cstheme="minorHAnsi"/>
          <w:b/>
          <w:bCs/>
        </w:rPr>
      </w:pPr>
      <w:r>
        <w:rPr>
          <w:rFonts w:cstheme="minorHAnsi"/>
          <w:b/>
          <w:bCs/>
        </w:rPr>
        <w:t>6</w:t>
      </w:r>
      <w:r w:rsidR="004A2C58">
        <w:rPr>
          <w:rFonts w:cstheme="minorHAnsi"/>
          <w:b/>
          <w:bCs/>
        </w:rPr>
        <w:t xml:space="preserve">. </w:t>
      </w:r>
      <w:r w:rsidR="004A2C58" w:rsidRPr="004A2C58">
        <w:rPr>
          <w:rFonts w:cstheme="minorHAnsi"/>
          <w:b/>
          <w:bCs/>
        </w:rPr>
        <w:t>Types of information</w:t>
      </w:r>
    </w:p>
    <w:p w14:paraId="4E7B2FFC" w14:textId="0CBD69E2" w:rsidR="00110F63" w:rsidRPr="00110F63" w:rsidRDefault="00110F63" w:rsidP="00110F63">
      <w:pPr>
        <w:spacing w:line="276" w:lineRule="auto"/>
        <w:jc w:val="both"/>
        <w:rPr>
          <w:rFonts w:cstheme="minorHAnsi"/>
          <w:color w:val="000000" w:themeColor="text1"/>
        </w:rPr>
      </w:pPr>
      <w:r w:rsidRPr="00110F63">
        <w:rPr>
          <w:rFonts w:cstheme="minorHAnsi"/>
        </w:rPr>
        <w:t xml:space="preserve">Included </w:t>
      </w:r>
      <w:r w:rsidR="007F16D4">
        <w:rPr>
          <w:rFonts w:cstheme="minorHAnsi"/>
        </w:rPr>
        <w:t>is</w:t>
      </w:r>
      <w:r w:rsidRPr="00110F63">
        <w:rPr>
          <w:rFonts w:cstheme="minorHAnsi"/>
        </w:rPr>
        <w:t xml:space="preserve"> </w:t>
      </w:r>
      <w:r w:rsidR="007F16D4">
        <w:rPr>
          <w:rFonts w:cstheme="minorHAnsi"/>
        </w:rPr>
        <w:t>peer</w:t>
      </w:r>
      <w:r w:rsidR="006403E5">
        <w:rPr>
          <w:rFonts w:cstheme="minorHAnsi"/>
        </w:rPr>
        <w:t>-</w:t>
      </w:r>
      <w:r w:rsidR="007F16D4">
        <w:rPr>
          <w:rFonts w:cstheme="minorHAnsi"/>
        </w:rPr>
        <w:t xml:space="preserve">reviewed </w:t>
      </w:r>
      <w:r w:rsidR="00E07462">
        <w:rPr>
          <w:rFonts w:cstheme="minorHAnsi"/>
        </w:rPr>
        <w:t xml:space="preserve">intervention studies (RCT, non-randomised </w:t>
      </w:r>
      <w:r w:rsidR="00412B52">
        <w:rPr>
          <w:rFonts w:cstheme="minorHAnsi"/>
        </w:rPr>
        <w:t>trial</w:t>
      </w:r>
      <w:r w:rsidR="00E07462">
        <w:rPr>
          <w:rFonts w:cstheme="minorHAnsi"/>
        </w:rPr>
        <w:t>, quasi-experimental studies</w:t>
      </w:r>
      <w:r w:rsidR="004A2C58">
        <w:rPr>
          <w:rFonts w:cstheme="minorHAnsi"/>
        </w:rPr>
        <w:t xml:space="preserve">, </w:t>
      </w:r>
      <w:r w:rsidR="006403E5">
        <w:rPr>
          <w:rFonts w:cstheme="minorHAnsi"/>
        </w:rPr>
        <w:t>reviews,</w:t>
      </w:r>
      <w:r w:rsidR="004A2C58">
        <w:rPr>
          <w:rFonts w:cstheme="minorHAnsi"/>
        </w:rPr>
        <w:t xml:space="preserve"> and opinion pieces</w:t>
      </w:r>
      <w:r w:rsidR="00E07462">
        <w:rPr>
          <w:rFonts w:cstheme="minorHAnsi"/>
        </w:rPr>
        <w:t xml:space="preserve">) </w:t>
      </w:r>
      <w:r w:rsidR="007F16D4">
        <w:rPr>
          <w:rFonts w:cstheme="minorHAnsi"/>
        </w:rPr>
        <w:t xml:space="preserve">and </w:t>
      </w:r>
      <w:r w:rsidRPr="00110F63">
        <w:rPr>
          <w:rFonts w:cstheme="minorHAnsi"/>
        </w:rPr>
        <w:t xml:space="preserve">grey literature </w:t>
      </w:r>
      <w:r w:rsidR="00E07462">
        <w:rPr>
          <w:rFonts w:cstheme="minorHAnsi"/>
        </w:rPr>
        <w:t>(</w:t>
      </w:r>
      <w:r w:rsidRPr="00110F63">
        <w:rPr>
          <w:rFonts w:cstheme="minorHAnsi"/>
        </w:rPr>
        <w:t>i.e.</w:t>
      </w:r>
      <w:r w:rsidR="006403E5">
        <w:rPr>
          <w:rFonts w:cstheme="minorHAnsi"/>
        </w:rPr>
        <w:t>,</w:t>
      </w:r>
      <w:r w:rsidRPr="00110F63">
        <w:rPr>
          <w:rFonts w:cstheme="minorHAnsi"/>
        </w:rPr>
        <w:t xml:space="preserve"> government guidelines; online advice from recognised healthcare profession/health care companies and</w:t>
      </w:r>
      <w:r w:rsidR="00605E1A">
        <w:rPr>
          <w:rFonts w:cstheme="minorHAnsi"/>
        </w:rPr>
        <w:t xml:space="preserve"> </w:t>
      </w:r>
      <w:r w:rsidRPr="00110F63">
        <w:rPr>
          <w:rFonts w:cstheme="minorHAnsi"/>
        </w:rPr>
        <w:t>guidelines of healthcare and relevant professional organisations</w:t>
      </w:r>
      <w:r w:rsidR="00E07462">
        <w:rPr>
          <w:rFonts w:cstheme="minorHAnsi"/>
        </w:rPr>
        <w:t>)</w:t>
      </w:r>
      <w:r w:rsidRPr="00110F63">
        <w:rPr>
          <w:rFonts w:cstheme="minorHAnsi"/>
        </w:rPr>
        <w:t xml:space="preserve">. Excluded are </w:t>
      </w:r>
      <w:r w:rsidRPr="00110F63">
        <w:rPr>
          <w:rFonts w:cstheme="minorHAnsi"/>
          <w:color w:val="000000" w:themeColor="text1"/>
        </w:rPr>
        <w:t xml:space="preserve">articles written by lay press, including online information. </w:t>
      </w:r>
      <w:r w:rsidR="00A13E03">
        <w:rPr>
          <w:rFonts w:cstheme="minorHAnsi"/>
          <w:color w:val="000000" w:themeColor="text1"/>
        </w:rPr>
        <w:t xml:space="preserve">Articles will be included if they include an abstract in English. </w:t>
      </w:r>
    </w:p>
    <w:p w14:paraId="69A76E27" w14:textId="77777777" w:rsidR="00110F63" w:rsidRPr="005D3476" w:rsidRDefault="00110F63" w:rsidP="00110F63">
      <w:pPr>
        <w:spacing w:line="276" w:lineRule="auto"/>
        <w:jc w:val="both"/>
        <w:rPr>
          <w:rFonts w:cstheme="minorHAnsi"/>
        </w:rPr>
      </w:pPr>
    </w:p>
    <w:p w14:paraId="24CED95B" w14:textId="1DA077DD" w:rsidR="004A2C58" w:rsidRPr="001D428F" w:rsidRDefault="00A12D15" w:rsidP="00A74C6E">
      <w:pPr>
        <w:spacing w:line="276" w:lineRule="auto"/>
        <w:jc w:val="both"/>
        <w:rPr>
          <w:rFonts w:cstheme="minorHAnsi"/>
          <w:b/>
          <w:bCs/>
          <w:color w:val="000000" w:themeColor="text1"/>
        </w:rPr>
      </w:pPr>
      <w:r w:rsidRPr="001D428F">
        <w:rPr>
          <w:rFonts w:cstheme="minorHAnsi"/>
          <w:b/>
          <w:bCs/>
          <w:color w:val="000000" w:themeColor="text1"/>
        </w:rPr>
        <w:t>7</w:t>
      </w:r>
      <w:r w:rsidR="004A2C58" w:rsidRPr="001D428F">
        <w:rPr>
          <w:rFonts w:cstheme="minorHAnsi"/>
          <w:b/>
          <w:bCs/>
          <w:color w:val="000000" w:themeColor="text1"/>
        </w:rPr>
        <w:t>. Search strategy</w:t>
      </w:r>
    </w:p>
    <w:p w14:paraId="2AAC21EB" w14:textId="77777777" w:rsidR="00714521" w:rsidRPr="001D428F" w:rsidRDefault="00714521" w:rsidP="00A74C6E">
      <w:pPr>
        <w:pStyle w:val="CommentText"/>
        <w:jc w:val="both"/>
        <w:rPr>
          <w:rFonts w:eastAsia="Times New Roman" w:cstheme="minorHAnsi"/>
          <w:color w:val="000000" w:themeColor="text1"/>
          <w:sz w:val="24"/>
          <w:szCs w:val="24"/>
          <w:shd w:val="clear" w:color="auto" w:fill="FFFFFF"/>
          <w:lang w:eastAsia="en-GB"/>
        </w:rPr>
      </w:pPr>
    </w:p>
    <w:p w14:paraId="20462F46" w14:textId="77777777" w:rsidR="00F05D5A" w:rsidRPr="00003345" w:rsidRDefault="00F05D5A" w:rsidP="00F05D5A">
      <w:pPr>
        <w:spacing w:after="120" w:line="360" w:lineRule="auto"/>
        <w:jc w:val="both"/>
        <w:rPr>
          <w:b/>
          <w:bCs/>
          <w:color w:val="000000" w:themeColor="text1"/>
        </w:rPr>
      </w:pPr>
      <w:r w:rsidRPr="00003345">
        <w:rPr>
          <w:b/>
          <w:bCs/>
          <w:color w:val="000000" w:themeColor="text1"/>
        </w:rPr>
        <w:t>Search strategy</w:t>
      </w:r>
    </w:p>
    <w:p w14:paraId="3F9062ED" w14:textId="77777777" w:rsidR="00F05D5A" w:rsidRPr="00003345" w:rsidRDefault="00F05D5A" w:rsidP="00F05D5A">
      <w:pPr>
        <w:spacing w:after="120" w:line="360" w:lineRule="auto"/>
        <w:jc w:val="both"/>
      </w:pPr>
      <w:r w:rsidRPr="00003345">
        <w:t xml:space="preserve">The PCC (Population/Concept/Context) was used to define the basic ‘foreground’ search objectives in such a way as to provide credible and useful search results. This guided the </w:t>
      </w:r>
      <w:r w:rsidRPr="00003345">
        <w:lastRenderedPageBreak/>
        <w:t xml:space="preserve">later development of approaches for the academic and grey components of the search strategy. </w:t>
      </w:r>
    </w:p>
    <w:p w14:paraId="212FF76A" w14:textId="77777777" w:rsidR="00F05D5A" w:rsidRPr="00003345" w:rsidRDefault="00F05D5A" w:rsidP="00F05D5A">
      <w:pPr>
        <w:spacing w:after="120" w:line="360" w:lineRule="auto"/>
        <w:jc w:val="both"/>
      </w:pPr>
      <w:r w:rsidRPr="00003345">
        <w:t xml:space="preserve">This led to the generation of initial search terms, the development of a search string with appropriate Boolean syntax. An initial academic database scoping search was performed on Medline using PubMed using MeSH thesaurus terms and/or common terms to determine the search sensitivity and the need for search term/concept synonyms and variations. This was followed by an analysis of the text words contained in the title and summary of retrieved articles, and of the index terms used to describe the articles. This provided an opportunity to adjust search string syntax to optimise search sensitivity. </w:t>
      </w:r>
    </w:p>
    <w:p w14:paraId="483364C4" w14:textId="77777777" w:rsidR="00F05D5A" w:rsidRPr="00003345" w:rsidRDefault="00F05D5A" w:rsidP="00F05D5A">
      <w:pPr>
        <w:spacing w:after="120" w:line="360" w:lineRule="auto"/>
        <w:jc w:val="both"/>
      </w:pPr>
      <w:r w:rsidRPr="00003345">
        <w:t xml:space="preserve">Moreover, the references lists of all included publications were reviewed for additional relevant publications for inclusion. </w:t>
      </w:r>
    </w:p>
    <w:p w14:paraId="76AD8313" w14:textId="77777777" w:rsidR="00F05D5A" w:rsidRPr="00003345" w:rsidRDefault="00F05D5A" w:rsidP="00F05D5A">
      <w:pPr>
        <w:spacing w:after="120" w:line="360" w:lineRule="auto"/>
        <w:jc w:val="both"/>
      </w:pPr>
      <w:r w:rsidRPr="00003345">
        <w:t>An optimised academic database search string was then used to search two academic databases: Medline (via the PubMed interface) and CINAHL to capture peer-reviewed articles. After several iterations, the final search string combined two sets of synonyms; one listing alternative words for dentures, the other listing various alternative words relating to diet or quality of life, see below:</w:t>
      </w:r>
      <w:r w:rsidRPr="00003345">
        <w:tab/>
      </w:r>
    </w:p>
    <w:p w14:paraId="798A61DD" w14:textId="77777777" w:rsidR="00F05D5A" w:rsidRPr="00003345" w:rsidRDefault="00F05D5A" w:rsidP="00F05D5A">
      <w:pPr>
        <w:spacing w:after="120" w:line="360" w:lineRule="auto"/>
        <w:ind w:left="720"/>
      </w:pPr>
      <w:r w:rsidRPr="00003345">
        <w:rPr>
          <w:b/>
          <w:bCs/>
        </w:rPr>
        <w:t>PubMed search string</w:t>
      </w:r>
      <w:r w:rsidRPr="00003345">
        <w:br/>
        <w:t xml:space="preserve">("denture" OR "removable prosthodontics" OR “dentition” OR “Edentate” OR “partially dentate” OR “edentulism” OR “edentulous” OR "removable partial denture") </w:t>
      </w:r>
      <w:r w:rsidRPr="00003345">
        <w:br/>
      </w:r>
      <w:r w:rsidRPr="00003345">
        <w:rPr>
          <w:b/>
          <w:bCs/>
        </w:rPr>
        <w:t>AND</w:t>
      </w:r>
      <w:r w:rsidRPr="00003345">
        <w:t xml:space="preserve"> </w:t>
      </w:r>
      <w:r w:rsidRPr="00003345">
        <w:br/>
        <w:t>("nutrition" OR “nutritional” OR “diet” OR “soft diet” OR “food” OR “soft food” OR “healthy eating” OR “dietary” OR “dietary advice” OR “eating advice” OR “eating” OR “quality of life” OR “health-related quality of life” OR “QoL” OR “HRQoL” OR “patient-reported outcome” OR “PRO”)</w:t>
      </w:r>
    </w:p>
    <w:p w14:paraId="4CD96620" w14:textId="77777777" w:rsidR="00F05D5A" w:rsidRPr="00003345" w:rsidRDefault="00F05D5A" w:rsidP="00F05D5A">
      <w:pPr>
        <w:spacing w:after="120" w:line="360" w:lineRule="auto"/>
        <w:jc w:val="both"/>
      </w:pPr>
      <w:r w:rsidRPr="00003345">
        <w:t xml:space="preserve">In parallel, optimised grey database search strings were used to search three grey databases/sources of information, OpenGrey, GreyMatters, WorldWideScience. In addition, where appropriate, each of these databases, was the subject of targeted searches, with specific additional filters or alternative search strings, to identify anticipated sources of information. These were initially directed at documenting identified relevant national </w:t>
      </w:r>
      <w:r w:rsidRPr="00003345">
        <w:lastRenderedPageBreak/>
        <w:t>government documents and communications of prominent learned dental societies, oral health product manufacturers and other dental organisations. This process helped to identify which type of bodies develop this type of nutrition guidance and where the gaps in information provision exist. Due to limitations in their search functions OpenGrey and GreyMatters were unable to be searched using the same compound search as PubMed – and instead employed the simplest search available using the term: “denture”. However, they produced limited hits – none of which were relevant and therefore these databases were removed from the search strategy. WorldWideScience was searched using the same compound search as PubMed – but with PubMed Central and Europe PubMed Central removed from the list of database sources to avoid redundancy with PubMed search.</w:t>
      </w:r>
    </w:p>
    <w:p w14:paraId="4B2FC9CB" w14:textId="77777777" w:rsidR="00F05D5A" w:rsidRPr="00003345" w:rsidRDefault="00F05D5A" w:rsidP="00F05D5A">
      <w:pPr>
        <w:spacing w:after="120" w:line="360" w:lineRule="auto"/>
        <w:jc w:val="both"/>
      </w:pPr>
      <w:r w:rsidRPr="00003345">
        <w:t xml:space="preserve">A similar scoping search was performed on Google, with the objective of similarly optimising search terms, and determining search sensitivity. Google searching required a different set of search terms and approaches than utilised for academic/grey literature databases and required the definition of a series of filtering criteria at the level of the search. Ultimately, the Google search strategy used the ‘advanced search’ function to identify sites that contained ‘all these words’: </w:t>
      </w:r>
    </w:p>
    <w:p w14:paraId="035D475E" w14:textId="77777777" w:rsidR="00F05D5A" w:rsidRPr="00003345" w:rsidRDefault="00F05D5A" w:rsidP="00F05D5A">
      <w:pPr>
        <w:spacing w:after="120" w:line="360" w:lineRule="auto"/>
        <w:ind w:left="720"/>
        <w:rPr>
          <w:b/>
          <w:bCs/>
        </w:rPr>
      </w:pPr>
      <w:r w:rsidRPr="00003345">
        <w:rPr>
          <w:b/>
          <w:bCs/>
        </w:rPr>
        <w:t>Google search string</w:t>
      </w:r>
    </w:p>
    <w:p w14:paraId="2C8793BA" w14:textId="77777777" w:rsidR="00F05D5A" w:rsidRPr="00003345" w:rsidRDefault="00F05D5A" w:rsidP="00F05D5A">
      <w:pPr>
        <w:spacing w:after="120" w:line="360" w:lineRule="auto"/>
        <w:ind w:left="720"/>
      </w:pPr>
      <w:r w:rsidRPr="00003345">
        <w:t>Sites with all these words: "denture" "eat" “diet” “food” “advice”</w:t>
      </w:r>
    </w:p>
    <w:p w14:paraId="683B1159" w14:textId="77777777" w:rsidR="00F05D5A" w:rsidRPr="00003345" w:rsidRDefault="00F05D5A" w:rsidP="00F05D5A">
      <w:pPr>
        <w:spacing w:after="120" w:line="360" w:lineRule="auto"/>
        <w:jc w:val="both"/>
      </w:pPr>
      <w:r w:rsidRPr="00003345">
        <w:t xml:space="preserve">Due to the limitations of Google as a search engine, it was not possible to create a compound search string that matched that which was used for PubMed, CINAHL and WorldWideScience. Accordingly, a broader approach was employed that used five ‘common language’ key terms. However, as Google has no limitations on number of hits, it was decided to restrict Google searches to a maximum of 100 results per individual search string. </w:t>
      </w:r>
    </w:p>
    <w:p w14:paraId="3D1567D0" w14:textId="77777777" w:rsidR="00F05D5A" w:rsidRPr="00003345" w:rsidRDefault="00F05D5A" w:rsidP="00F05D5A">
      <w:pPr>
        <w:spacing w:after="120" w:line="360" w:lineRule="auto"/>
        <w:jc w:val="both"/>
      </w:pPr>
      <w:r w:rsidRPr="00003345">
        <w:t xml:space="preserve">Moreover, Google requires searches identify their ‘region’ (which typically defaults to country in which the search is performed). In order, to get a broad geographic representation of relevant hits the first 20 hits from the five principal English-speaking Google ‘regions’: The United States, The United Kingdom, Canada, Australia and New Zealand were taken.  Each hit was required to be unique, accordingly any repeat hits were omitted and the next in the list selected. </w:t>
      </w:r>
    </w:p>
    <w:p w14:paraId="793C604A" w14:textId="77777777" w:rsidR="00F05D5A" w:rsidRPr="00003345" w:rsidRDefault="00F05D5A" w:rsidP="00F05D5A">
      <w:pPr>
        <w:spacing w:after="120" w:line="360" w:lineRule="auto"/>
        <w:jc w:val="both"/>
      </w:pPr>
      <w:r w:rsidRPr="00003345">
        <w:lastRenderedPageBreak/>
        <w:t xml:space="preserve">The targeted learned societies (catering primarily to the prosthodontics speciality and addressing clinical and patient aspects around denture provision) for grey searching were identified as: </w:t>
      </w:r>
    </w:p>
    <w:p w14:paraId="1C46ECE6" w14:textId="77777777" w:rsidR="00F05D5A" w:rsidRPr="00003345" w:rsidRDefault="00F05D5A" w:rsidP="00F05D5A">
      <w:pPr>
        <w:spacing w:after="120" w:line="360" w:lineRule="auto"/>
        <w:ind w:left="720"/>
      </w:pPr>
      <w:r w:rsidRPr="00003345">
        <w:t>FDI (Federation Dentaire Internationale);</w:t>
      </w:r>
    </w:p>
    <w:p w14:paraId="67FAEA53" w14:textId="77777777" w:rsidR="00F05D5A" w:rsidRPr="00003345" w:rsidRDefault="00F05D5A" w:rsidP="00F05D5A">
      <w:pPr>
        <w:spacing w:after="120" w:line="360" w:lineRule="auto"/>
        <w:ind w:left="720"/>
      </w:pPr>
      <w:r w:rsidRPr="00003345">
        <w:t>International Association Dental research (IADR);</w:t>
      </w:r>
    </w:p>
    <w:p w14:paraId="1FFC69E4" w14:textId="77777777" w:rsidR="00F05D5A" w:rsidRPr="00003345" w:rsidRDefault="00F05D5A" w:rsidP="00F05D5A">
      <w:pPr>
        <w:spacing w:after="120" w:line="360" w:lineRule="auto"/>
        <w:ind w:left="720"/>
      </w:pPr>
      <w:r w:rsidRPr="00003345">
        <w:t>American College of Prosthodontists;</w:t>
      </w:r>
    </w:p>
    <w:p w14:paraId="31770D58" w14:textId="77777777" w:rsidR="00F05D5A" w:rsidRPr="00003345" w:rsidRDefault="00F05D5A" w:rsidP="00F05D5A">
      <w:pPr>
        <w:spacing w:after="120" w:line="360" w:lineRule="auto"/>
        <w:ind w:left="720"/>
      </w:pPr>
      <w:r w:rsidRPr="00003345">
        <w:t>European Prosthodontic Association;</w:t>
      </w:r>
    </w:p>
    <w:p w14:paraId="3F47C7AE" w14:textId="77777777" w:rsidR="00F05D5A" w:rsidRPr="00003345" w:rsidRDefault="00F05D5A" w:rsidP="00F05D5A">
      <w:pPr>
        <w:spacing w:after="120" w:line="360" w:lineRule="auto"/>
        <w:ind w:left="720"/>
      </w:pPr>
      <w:r w:rsidRPr="00003345">
        <w:t>International College of Prosthodontists;</w:t>
      </w:r>
    </w:p>
    <w:p w14:paraId="3FC42877" w14:textId="77777777" w:rsidR="00F05D5A" w:rsidRPr="00003345" w:rsidRDefault="00F05D5A" w:rsidP="00F05D5A">
      <w:pPr>
        <w:spacing w:after="120" w:line="360" w:lineRule="auto"/>
        <w:ind w:left="720"/>
      </w:pPr>
      <w:r w:rsidRPr="00003345">
        <w:t>American Dental Association;</w:t>
      </w:r>
    </w:p>
    <w:p w14:paraId="6351374B" w14:textId="77777777" w:rsidR="00F05D5A" w:rsidRPr="00003345" w:rsidRDefault="00F05D5A" w:rsidP="00F05D5A">
      <w:pPr>
        <w:spacing w:after="120" w:line="360" w:lineRule="auto"/>
        <w:ind w:left="720"/>
      </w:pPr>
      <w:r w:rsidRPr="00003345">
        <w:t xml:space="preserve">Mouth Healthy; </w:t>
      </w:r>
    </w:p>
    <w:p w14:paraId="3DC31ED3" w14:textId="77777777" w:rsidR="00F05D5A" w:rsidRPr="00003345" w:rsidRDefault="00F05D5A" w:rsidP="00F05D5A">
      <w:pPr>
        <w:spacing w:after="120" w:line="360" w:lineRule="auto"/>
        <w:ind w:left="720"/>
      </w:pPr>
      <w:r w:rsidRPr="00003345">
        <w:t xml:space="preserve">Oral Health Foundation; </w:t>
      </w:r>
    </w:p>
    <w:p w14:paraId="018251AF" w14:textId="77777777" w:rsidR="00F05D5A" w:rsidRPr="00003345" w:rsidRDefault="00F05D5A" w:rsidP="00F05D5A">
      <w:pPr>
        <w:spacing w:after="120" w:line="360" w:lineRule="auto"/>
        <w:ind w:left="720"/>
      </w:pPr>
      <w:r w:rsidRPr="00003345">
        <w:t>Authority Dental Organization.</w:t>
      </w:r>
    </w:p>
    <w:p w14:paraId="7F844F8E" w14:textId="77777777" w:rsidR="00F05D5A" w:rsidRPr="00003345" w:rsidRDefault="00F05D5A" w:rsidP="00F05D5A">
      <w:pPr>
        <w:spacing w:after="120" w:line="360" w:lineRule="auto"/>
        <w:jc w:val="both"/>
      </w:pPr>
      <w:r w:rsidRPr="00003345">
        <w:t>The targeted commercial organisations (as consumer facing companies that manufacture and address products designed for caring for denture wearer needs) for grey searching were initially identified as:</w:t>
      </w:r>
    </w:p>
    <w:p w14:paraId="11ED0881" w14:textId="77777777" w:rsidR="00F05D5A" w:rsidRPr="00003345" w:rsidRDefault="00F05D5A" w:rsidP="00F05D5A">
      <w:pPr>
        <w:spacing w:after="120" w:line="360" w:lineRule="auto"/>
        <w:ind w:left="720"/>
      </w:pPr>
      <w:r w:rsidRPr="00003345">
        <w:t>Denture Living</w:t>
      </w:r>
    </w:p>
    <w:p w14:paraId="4D6BFCED" w14:textId="77777777" w:rsidR="00F05D5A" w:rsidRPr="00003345" w:rsidRDefault="00F05D5A" w:rsidP="00F05D5A">
      <w:pPr>
        <w:spacing w:after="120" w:line="360" w:lineRule="auto"/>
        <w:ind w:left="720"/>
      </w:pPr>
      <w:r w:rsidRPr="00003345">
        <w:t>My Denture Care</w:t>
      </w:r>
    </w:p>
    <w:p w14:paraId="42D2F58D" w14:textId="77777777" w:rsidR="00F05D5A" w:rsidRPr="00003345" w:rsidRDefault="00F05D5A" w:rsidP="00F05D5A">
      <w:pPr>
        <w:spacing w:after="120" w:line="360" w:lineRule="auto"/>
        <w:ind w:left="720"/>
      </w:pPr>
      <w:r w:rsidRPr="00003345">
        <w:t>Fitty Dent</w:t>
      </w:r>
    </w:p>
    <w:p w14:paraId="1CF662E9" w14:textId="3B159A30" w:rsidR="00DF0DA5" w:rsidRPr="001D428F" w:rsidRDefault="00DF0DA5" w:rsidP="00F05D5A">
      <w:pPr>
        <w:ind w:firstLine="720"/>
      </w:pPr>
      <w:r w:rsidRPr="001D428F">
        <w:t>Steradent</w:t>
      </w:r>
    </w:p>
    <w:p w14:paraId="7FD4E3BE" w14:textId="77777777" w:rsidR="00FC614F" w:rsidRPr="001D428F" w:rsidRDefault="00FC614F" w:rsidP="002E009C">
      <w:pPr>
        <w:spacing w:line="276" w:lineRule="auto"/>
        <w:jc w:val="both"/>
        <w:rPr>
          <w:rFonts w:cstheme="minorHAnsi"/>
        </w:rPr>
      </w:pPr>
    </w:p>
    <w:p w14:paraId="657561C4" w14:textId="77777777" w:rsidR="00F05D5A" w:rsidRPr="00003345" w:rsidRDefault="00F05D5A" w:rsidP="00F05D5A">
      <w:pPr>
        <w:spacing w:after="120" w:line="360" w:lineRule="auto"/>
        <w:ind w:left="720"/>
      </w:pPr>
      <w:r w:rsidRPr="00003345">
        <w:t>Steradent</w:t>
      </w:r>
    </w:p>
    <w:p w14:paraId="633490CA" w14:textId="77777777" w:rsidR="00F05D5A" w:rsidRPr="00003345" w:rsidRDefault="00F05D5A" w:rsidP="00F05D5A">
      <w:pPr>
        <w:spacing w:after="120" w:line="360" w:lineRule="auto"/>
        <w:jc w:val="both"/>
      </w:pPr>
      <w:r w:rsidRPr="00003345">
        <w:t>Those sites were searched for individual elements of the Google search string ("denture" "eat" “diet” “food” “advice”) using the Google advanced search function to ‘search within site’.</w:t>
      </w:r>
    </w:p>
    <w:p w14:paraId="72A3877F" w14:textId="77777777" w:rsidR="00F05D5A" w:rsidRPr="00003345" w:rsidRDefault="00F05D5A" w:rsidP="00F05D5A">
      <w:pPr>
        <w:spacing w:after="120" w:line="360" w:lineRule="auto"/>
        <w:jc w:val="both"/>
      </w:pPr>
      <w:r w:rsidRPr="00003345">
        <w:t xml:space="preserve">Single dental practice-based content, from Google searches, consistent with the research question was also identified:  using Google the first 20 dental practices for each of the five English-speaking Google regions (USA, UK, CAN, AUS, NZ) –were identified using the search term ‘dental practice’ – to list 100 dental practices in total. These sites were then searched </w:t>
      </w:r>
      <w:r w:rsidRPr="00003345">
        <w:lastRenderedPageBreak/>
        <w:t>for the words: "denture" "eat" “diet” “food” “advice”, using the Google advanced search function to ‘search within site’.</w:t>
      </w:r>
    </w:p>
    <w:p w14:paraId="0692057B" w14:textId="77777777" w:rsidR="00F05D5A" w:rsidRPr="00003345" w:rsidRDefault="00F05D5A" w:rsidP="00F05D5A">
      <w:pPr>
        <w:spacing w:after="120" w:line="360" w:lineRule="auto"/>
        <w:jc w:val="both"/>
      </w:pPr>
      <w:r w:rsidRPr="00003345">
        <w:t>The date limits were 2010 to April 2021 for peer-reviewed literature and other grey information, in order to capture recent evidence, guidance and health information on nutrition.</w:t>
      </w:r>
    </w:p>
    <w:p w14:paraId="05F0C170" w14:textId="5C636BD3" w:rsidR="000C5FAC" w:rsidRPr="00295A6F" w:rsidRDefault="000C5FAC" w:rsidP="00110F63">
      <w:pPr>
        <w:spacing w:line="276" w:lineRule="auto"/>
        <w:jc w:val="both"/>
        <w:rPr>
          <w:rFonts w:cstheme="minorHAnsi"/>
          <w:highlight w:val="yellow"/>
        </w:rPr>
      </w:pPr>
    </w:p>
    <w:p w14:paraId="659C8B7D" w14:textId="5993C02B" w:rsidR="00755B09" w:rsidRPr="00110F63" w:rsidRDefault="00B73776" w:rsidP="00F05D5A">
      <w:pPr>
        <w:spacing w:line="360" w:lineRule="auto"/>
        <w:jc w:val="both"/>
        <w:rPr>
          <w:rFonts w:cstheme="minorHAnsi"/>
          <w:b/>
          <w:bCs/>
        </w:rPr>
      </w:pPr>
      <w:r>
        <w:rPr>
          <w:rFonts w:cstheme="minorHAnsi"/>
        </w:rPr>
        <w:softHyphen/>
      </w:r>
      <w:r>
        <w:rPr>
          <w:rFonts w:cstheme="minorHAnsi"/>
        </w:rPr>
        <w:softHyphen/>
      </w:r>
      <w:r>
        <w:rPr>
          <w:rFonts w:cstheme="minorHAnsi"/>
        </w:rPr>
        <w:softHyphen/>
      </w:r>
      <w:r w:rsidR="00A12D15">
        <w:rPr>
          <w:rFonts w:cstheme="minorHAnsi"/>
          <w:b/>
          <w:bCs/>
        </w:rPr>
        <w:t>8</w:t>
      </w:r>
      <w:r w:rsidR="004A2C58">
        <w:rPr>
          <w:rFonts w:cstheme="minorHAnsi"/>
          <w:b/>
          <w:bCs/>
        </w:rPr>
        <w:t>.</w:t>
      </w:r>
      <w:r w:rsidR="00F9112E">
        <w:rPr>
          <w:rFonts w:cstheme="minorHAnsi"/>
          <w:b/>
          <w:bCs/>
        </w:rPr>
        <w:t xml:space="preserve"> </w:t>
      </w:r>
      <w:r w:rsidR="00755B09" w:rsidRPr="00110F63">
        <w:rPr>
          <w:rFonts w:cstheme="minorHAnsi"/>
          <w:b/>
          <w:bCs/>
        </w:rPr>
        <w:t>Screening</w:t>
      </w:r>
    </w:p>
    <w:p w14:paraId="55304344" w14:textId="1E75CBF4" w:rsidR="00725F11" w:rsidRPr="00110F63" w:rsidRDefault="00725F11" w:rsidP="00F05D5A">
      <w:pPr>
        <w:spacing w:after="120" w:line="360" w:lineRule="auto"/>
        <w:jc w:val="both"/>
        <w:rPr>
          <w:rFonts w:cstheme="minorHAnsi"/>
        </w:rPr>
      </w:pPr>
      <w:r w:rsidRPr="00110F63">
        <w:rPr>
          <w:rFonts w:cstheme="minorHAnsi"/>
        </w:rPr>
        <w:t xml:space="preserve">Titles and </w:t>
      </w:r>
      <w:r w:rsidR="00E07462">
        <w:rPr>
          <w:rFonts w:cstheme="minorHAnsi"/>
        </w:rPr>
        <w:t>summaries</w:t>
      </w:r>
      <w:r w:rsidRPr="00110F63">
        <w:rPr>
          <w:rFonts w:cstheme="minorHAnsi"/>
        </w:rPr>
        <w:t xml:space="preserve"> of all records identified in the electronic search will be reviewed and obviously different topic articles were eliminated by one reviewer. A random 10% sample of titles and </w:t>
      </w:r>
      <w:r w:rsidR="00E07462">
        <w:rPr>
          <w:rFonts w:cstheme="minorHAnsi"/>
        </w:rPr>
        <w:t>summaries</w:t>
      </w:r>
      <w:r w:rsidRPr="00110F63">
        <w:rPr>
          <w:rFonts w:cstheme="minorHAnsi"/>
        </w:rPr>
        <w:t xml:space="preserve"> will be double screened by a second reviewer and inter-rater reliability assessed. Any differences between the reviewers’ decisions </w:t>
      </w:r>
      <w:r w:rsidR="009A1285">
        <w:rPr>
          <w:rFonts w:cstheme="minorHAnsi"/>
        </w:rPr>
        <w:t>will be</w:t>
      </w:r>
      <w:r w:rsidRPr="00110F63">
        <w:rPr>
          <w:rFonts w:cstheme="minorHAnsi"/>
        </w:rPr>
        <w:t xml:space="preserve"> resolved by discussion and, if when consensus was not reached, a third reviewer (PM) will be consulted.  </w:t>
      </w:r>
    </w:p>
    <w:p w14:paraId="3B225CFC" w14:textId="77777777" w:rsidR="00605E1A" w:rsidRDefault="00725F11" w:rsidP="00F05D5A">
      <w:pPr>
        <w:spacing w:line="360" w:lineRule="auto"/>
        <w:jc w:val="both"/>
        <w:rPr>
          <w:rFonts w:cstheme="minorHAnsi"/>
        </w:rPr>
      </w:pPr>
      <w:r w:rsidRPr="00110F63">
        <w:rPr>
          <w:rFonts w:cstheme="minorHAnsi"/>
        </w:rPr>
        <w:t xml:space="preserve">When the articles apparently meet the inclusion criteria or when there is not enough information in the abstract/summary, two reviewers will review the full article. Any differences between the reviewers’ decisions will be resolved by discussion and when consensus cannot be reached, a third reviewer (PM) will be consulted. </w:t>
      </w:r>
      <w:r w:rsidR="00605E1A">
        <w:rPr>
          <w:rFonts w:cstheme="minorHAnsi"/>
        </w:rPr>
        <w:t xml:space="preserve"> </w:t>
      </w:r>
    </w:p>
    <w:p w14:paraId="71A43643" w14:textId="77777777" w:rsidR="00605E1A" w:rsidRDefault="00605E1A" w:rsidP="00F05D5A">
      <w:pPr>
        <w:spacing w:line="360" w:lineRule="auto"/>
        <w:jc w:val="both"/>
        <w:rPr>
          <w:rFonts w:cstheme="minorHAnsi"/>
        </w:rPr>
      </w:pPr>
    </w:p>
    <w:p w14:paraId="42C81158" w14:textId="3056165A" w:rsidR="00833AAD" w:rsidRPr="00E07462" w:rsidRDefault="00725F11" w:rsidP="00F05D5A">
      <w:pPr>
        <w:spacing w:line="360" w:lineRule="auto"/>
        <w:jc w:val="both"/>
        <w:rPr>
          <w:rFonts w:eastAsia="Times New Roman" w:cstheme="minorHAnsi"/>
          <w:color w:val="000000" w:themeColor="text1"/>
          <w:lang w:eastAsia="en-GB"/>
        </w:rPr>
      </w:pPr>
      <w:r w:rsidRPr="00110F63">
        <w:rPr>
          <w:rFonts w:cstheme="minorHAnsi"/>
        </w:rPr>
        <w:t>The reasons for exclusion of articles at this phase will be logged</w:t>
      </w:r>
      <w:r w:rsidRPr="00E07462">
        <w:rPr>
          <w:rFonts w:cstheme="minorHAnsi"/>
          <w:color w:val="000000" w:themeColor="text1"/>
        </w:rPr>
        <w:t xml:space="preserve">. </w:t>
      </w:r>
      <w:r w:rsidR="00833AAD" w:rsidRPr="00E07462">
        <w:rPr>
          <w:rFonts w:eastAsia="Times New Roman" w:cstheme="minorHAnsi"/>
          <w:color w:val="000000" w:themeColor="text1"/>
          <w:shd w:val="clear" w:color="auto" w:fill="FFFFFF"/>
          <w:lang w:eastAsia="en-GB"/>
        </w:rPr>
        <w:t xml:space="preserve">The reference list of identified reports and articles will be searched for additional studies. </w:t>
      </w:r>
      <w:r w:rsidR="00605E1A">
        <w:rPr>
          <w:rFonts w:eastAsia="Times New Roman" w:cstheme="minorHAnsi"/>
          <w:color w:val="000000" w:themeColor="text1"/>
          <w:shd w:val="clear" w:color="auto" w:fill="FFFFFF"/>
          <w:lang w:eastAsia="en-GB"/>
        </w:rPr>
        <w:br/>
      </w:r>
    </w:p>
    <w:p w14:paraId="79923DC8" w14:textId="24EA200C" w:rsidR="00B22473" w:rsidRDefault="00725F11" w:rsidP="00F05D5A">
      <w:pPr>
        <w:spacing w:after="120" w:line="360" w:lineRule="auto"/>
        <w:jc w:val="both"/>
        <w:rPr>
          <w:rFonts w:cstheme="minorHAnsi"/>
        </w:rPr>
      </w:pPr>
      <w:r w:rsidRPr="00110F63">
        <w:rPr>
          <w:rFonts w:cstheme="minorHAnsi"/>
        </w:rPr>
        <w:t xml:space="preserve">Extracting and charting results will be </w:t>
      </w:r>
      <w:r w:rsidRPr="004A2C58">
        <w:rPr>
          <w:rFonts w:cstheme="minorHAnsi"/>
        </w:rPr>
        <w:t xml:space="preserve">undertaken by one reviewer and checked by a second reviewer.  Disagreements between the review authors will be resolved by consensus with involvement of a third reviewer (PM) where necessary. </w:t>
      </w:r>
      <w:r w:rsidR="004A2C58" w:rsidRPr="004A2C58">
        <w:rPr>
          <w:rFonts w:cstheme="minorHAnsi"/>
        </w:rPr>
        <w:t xml:space="preserve"> </w:t>
      </w:r>
    </w:p>
    <w:p w14:paraId="37917566" w14:textId="5F848293" w:rsidR="00725F11" w:rsidRPr="004A2C58" w:rsidRDefault="004A2C58" w:rsidP="00F05D5A">
      <w:pPr>
        <w:spacing w:after="120" w:line="360" w:lineRule="auto"/>
        <w:jc w:val="both"/>
        <w:rPr>
          <w:rFonts w:cstheme="minorHAnsi"/>
        </w:rPr>
      </w:pPr>
      <w:r w:rsidRPr="004A2C58">
        <w:rPr>
          <w:rFonts w:cstheme="minorHAnsi"/>
        </w:rPr>
        <w:t xml:space="preserve">The </w:t>
      </w:r>
      <w:r w:rsidRPr="004A2C58">
        <w:rPr>
          <w:rFonts w:cs="HelveticaNeueLT Std Lt"/>
          <w:color w:val="000000"/>
        </w:rPr>
        <w:t>reviewers will contact authors of primary studies or reviews for further information, where relevant.</w:t>
      </w:r>
    </w:p>
    <w:p w14:paraId="1729D3BA" w14:textId="093DC1E5" w:rsidR="00755B09" w:rsidRPr="00110F63" w:rsidRDefault="00AB7887" w:rsidP="00F05D5A">
      <w:pPr>
        <w:spacing w:line="360" w:lineRule="auto"/>
        <w:jc w:val="both"/>
        <w:rPr>
          <w:rFonts w:cstheme="minorHAnsi"/>
        </w:rPr>
      </w:pPr>
      <w:r w:rsidRPr="00110F63">
        <w:rPr>
          <w:rFonts w:cstheme="minorHAnsi"/>
        </w:rPr>
        <w:t xml:space="preserve">Results will be displayed in a PRISMA flow diagram for scoping reviews. </w:t>
      </w:r>
    </w:p>
    <w:p w14:paraId="214429FD" w14:textId="77777777" w:rsidR="00AB7887" w:rsidRPr="00110F63" w:rsidRDefault="00AB7887" w:rsidP="00F05D5A">
      <w:pPr>
        <w:spacing w:line="360" w:lineRule="auto"/>
        <w:jc w:val="both"/>
        <w:rPr>
          <w:rFonts w:cstheme="minorHAnsi"/>
        </w:rPr>
      </w:pPr>
    </w:p>
    <w:p w14:paraId="703E2953" w14:textId="288E6880" w:rsidR="00725F11" w:rsidRPr="00110F63" w:rsidRDefault="00A12D15" w:rsidP="00F05D5A">
      <w:pPr>
        <w:spacing w:line="360" w:lineRule="auto"/>
        <w:jc w:val="both"/>
        <w:rPr>
          <w:rFonts w:cstheme="minorHAnsi"/>
          <w:b/>
          <w:bCs/>
        </w:rPr>
      </w:pPr>
      <w:r>
        <w:rPr>
          <w:rFonts w:cstheme="minorHAnsi"/>
          <w:b/>
          <w:bCs/>
        </w:rPr>
        <w:t>9</w:t>
      </w:r>
      <w:r w:rsidR="004A2C58">
        <w:rPr>
          <w:rFonts w:cstheme="minorHAnsi"/>
          <w:b/>
          <w:bCs/>
        </w:rPr>
        <w:t xml:space="preserve">. </w:t>
      </w:r>
      <w:r w:rsidR="00725F11" w:rsidRPr="00110F63">
        <w:rPr>
          <w:rFonts w:cstheme="minorHAnsi"/>
          <w:b/>
          <w:bCs/>
        </w:rPr>
        <w:t>Extracting and charting results</w:t>
      </w:r>
    </w:p>
    <w:p w14:paraId="7723B6DF" w14:textId="675602A7" w:rsidR="00755B09" w:rsidRPr="00110F63" w:rsidRDefault="00725F11" w:rsidP="00F05D5A">
      <w:pPr>
        <w:spacing w:line="360" w:lineRule="auto"/>
        <w:jc w:val="both"/>
        <w:rPr>
          <w:rFonts w:cstheme="minorHAnsi"/>
        </w:rPr>
      </w:pPr>
      <w:r w:rsidRPr="00110F63">
        <w:rPr>
          <w:rFonts w:cstheme="minorHAnsi"/>
        </w:rPr>
        <w:t>The data pertaining to the key elements addressing the research question will be e</w:t>
      </w:r>
      <w:r w:rsidR="00755B09" w:rsidRPr="00110F63">
        <w:rPr>
          <w:rFonts w:cstheme="minorHAnsi"/>
        </w:rPr>
        <w:t>xtrac</w:t>
      </w:r>
      <w:r w:rsidRPr="00110F63">
        <w:rPr>
          <w:rFonts w:cstheme="minorHAnsi"/>
        </w:rPr>
        <w:t>ted</w:t>
      </w:r>
      <w:r w:rsidR="00755B09" w:rsidRPr="00110F63">
        <w:rPr>
          <w:rFonts w:cstheme="minorHAnsi"/>
        </w:rPr>
        <w:t xml:space="preserve"> and </w:t>
      </w:r>
      <w:r w:rsidRPr="00110F63">
        <w:rPr>
          <w:rFonts w:cstheme="minorHAnsi"/>
        </w:rPr>
        <w:t xml:space="preserve">charted.  This will </w:t>
      </w:r>
      <w:r w:rsidR="00AB7887" w:rsidRPr="00110F63">
        <w:rPr>
          <w:rFonts w:cstheme="minorHAnsi"/>
        </w:rPr>
        <w:t xml:space="preserve">initially </w:t>
      </w:r>
      <w:r w:rsidRPr="00110F63">
        <w:rPr>
          <w:rFonts w:cstheme="minorHAnsi"/>
        </w:rPr>
        <w:t>include information on:</w:t>
      </w:r>
    </w:p>
    <w:p w14:paraId="61A3BD7F" w14:textId="092359AC" w:rsidR="00725F11" w:rsidRPr="00A124F7" w:rsidRDefault="00725F11" w:rsidP="00F05D5A">
      <w:pPr>
        <w:pStyle w:val="ListParagraph"/>
        <w:numPr>
          <w:ilvl w:val="0"/>
          <w:numId w:val="8"/>
        </w:numPr>
        <w:spacing w:line="360" w:lineRule="auto"/>
        <w:jc w:val="both"/>
        <w:rPr>
          <w:rFonts w:cstheme="minorHAnsi"/>
        </w:rPr>
      </w:pPr>
      <w:r w:rsidRPr="00A124F7">
        <w:rPr>
          <w:rFonts w:cstheme="minorHAnsi"/>
        </w:rPr>
        <w:lastRenderedPageBreak/>
        <w:t>Author</w:t>
      </w:r>
      <w:r w:rsidR="0025511A" w:rsidRPr="00A124F7">
        <w:rPr>
          <w:rFonts w:cstheme="minorHAnsi"/>
        </w:rPr>
        <w:t>/year</w:t>
      </w:r>
    </w:p>
    <w:p w14:paraId="4CCA024D" w14:textId="0503D490" w:rsidR="00725F11" w:rsidRDefault="00F9112E" w:rsidP="00F05D5A">
      <w:pPr>
        <w:pStyle w:val="ListParagraph"/>
        <w:numPr>
          <w:ilvl w:val="0"/>
          <w:numId w:val="8"/>
        </w:numPr>
        <w:spacing w:line="360" w:lineRule="auto"/>
        <w:jc w:val="both"/>
        <w:rPr>
          <w:rFonts w:cstheme="minorHAnsi"/>
        </w:rPr>
      </w:pPr>
      <w:r>
        <w:rPr>
          <w:rFonts w:cstheme="minorHAnsi"/>
        </w:rPr>
        <w:t>Geographical location (country)</w:t>
      </w:r>
    </w:p>
    <w:p w14:paraId="7EFE4D35" w14:textId="1A5BF5C4" w:rsidR="00F9112E" w:rsidRPr="00F9112E" w:rsidRDefault="00F9112E" w:rsidP="00F05D5A">
      <w:pPr>
        <w:pStyle w:val="ListParagraph"/>
        <w:numPr>
          <w:ilvl w:val="0"/>
          <w:numId w:val="8"/>
        </w:numPr>
        <w:spacing w:line="360" w:lineRule="auto"/>
        <w:jc w:val="both"/>
        <w:rPr>
          <w:rFonts w:cstheme="minorHAnsi"/>
        </w:rPr>
      </w:pPr>
      <w:r>
        <w:rPr>
          <w:rFonts w:cstheme="minorHAnsi"/>
        </w:rPr>
        <w:t>Origin</w:t>
      </w:r>
      <w:r w:rsidR="006403E5">
        <w:rPr>
          <w:rFonts w:cstheme="minorHAnsi"/>
        </w:rPr>
        <w:t>/setting</w:t>
      </w:r>
      <w:r>
        <w:rPr>
          <w:rFonts w:cstheme="minorHAnsi"/>
        </w:rPr>
        <w:t xml:space="preserve"> </w:t>
      </w:r>
      <w:r w:rsidR="006403E5">
        <w:rPr>
          <w:rFonts w:cstheme="minorHAnsi"/>
        </w:rPr>
        <w:t>of dietary information/i</w:t>
      </w:r>
      <w:r>
        <w:rPr>
          <w:rFonts w:cstheme="minorHAnsi"/>
        </w:rPr>
        <w:t>ntervention</w:t>
      </w:r>
      <w:r w:rsidR="00605E1A">
        <w:rPr>
          <w:rFonts w:cstheme="minorHAnsi"/>
        </w:rPr>
        <w:t xml:space="preserve"> </w:t>
      </w:r>
      <w:r>
        <w:rPr>
          <w:rFonts w:cstheme="minorHAnsi"/>
        </w:rPr>
        <w:t>i.e</w:t>
      </w:r>
      <w:r w:rsidR="006403E5">
        <w:rPr>
          <w:rFonts w:cstheme="minorHAnsi"/>
        </w:rPr>
        <w:t>.</w:t>
      </w:r>
      <w:r>
        <w:rPr>
          <w:rFonts w:cstheme="minorHAnsi"/>
        </w:rPr>
        <w:t>, dental practice, general healthcare, online advice</w:t>
      </w:r>
    </w:p>
    <w:p w14:paraId="7BBE9E07" w14:textId="0BE76093" w:rsidR="00725F11" w:rsidRPr="00F9112E" w:rsidRDefault="00E07462" w:rsidP="00F05D5A">
      <w:pPr>
        <w:pStyle w:val="ListParagraph"/>
        <w:numPr>
          <w:ilvl w:val="0"/>
          <w:numId w:val="8"/>
        </w:numPr>
        <w:spacing w:line="360" w:lineRule="auto"/>
        <w:jc w:val="both"/>
        <w:rPr>
          <w:rFonts w:cstheme="minorHAnsi"/>
        </w:rPr>
      </w:pPr>
      <w:r w:rsidRPr="00F9112E">
        <w:rPr>
          <w:rFonts w:cstheme="minorHAnsi"/>
        </w:rPr>
        <w:t>Type</w:t>
      </w:r>
      <w:r w:rsidR="00F9112E">
        <w:rPr>
          <w:rFonts w:cstheme="minorHAnsi"/>
        </w:rPr>
        <w:t xml:space="preserve">s and volume of </w:t>
      </w:r>
      <w:r w:rsidRPr="00F9112E">
        <w:rPr>
          <w:rFonts w:cstheme="minorHAnsi"/>
        </w:rPr>
        <w:t>information: p</w:t>
      </w:r>
      <w:r w:rsidR="00725F11" w:rsidRPr="00F9112E">
        <w:rPr>
          <w:rFonts w:cstheme="minorHAnsi"/>
        </w:rPr>
        <w:t>eer-reviewed v</w:t>
      </w:r>
      <w:r w:rsidR="00605E1A">
        <w:rPr>
          <w:rFonts w:cstheme="minorHAnsi"/>
        </w:rPr>
        <w:t>er</w:t>
      </w:r>
      <w:r w:rsidR="00725F11" w:rsidRPr="00F9112E">
        <w:rPr>
          <w:rFonts w:cstheme="minorHAnsi"/>
        </w:rPr>
        <w:t>s</w:t>
      </w:r>
      <w:r w:rsidR="00605E1A">
        <w:rPr>
          <w:rFonts w:cstheme="minorHAnsi"/>
        </w:rPr>
        <w:t>us</w:t>
      </w:r>
      <w:r w:rsidR="00725F11" w:rsidRPr="00F9112E">
        <w:rPr>
          <w:rFonts w:cstheme="minorHAnsi"/>
        </w:rPr>
        <w:t xml:space="preserve"> grey</w:t>
      </w:r>
      <w:r w:rsidRPr="00F9112E">
        <w:rPr>
          <w:rFonts w:cstheme="minorHAnsi"/>
        </w:rPr>
        <w:t xml:space="preserve"> literature</w:t>
      </w:r>
    </w:p>
    <w:p w14:paraId="48F76B2B" w14:textId="2DE49C67" w:rsidR="00725F11" w:rsidRPr="00F9112E" w:rsidRDefault="00E07462" w:rsidP="00F05D5A">
      <w:pPr>
        <w:pStyle w:val="ListParagraph"/>
        <w:numPr>
          <w:ilvl w:val="0"/>
          <w:numId w:val="8"/>
        </w:numPr>
        <w:spacing w:line="360" w:lineRule="auto"/>
        <w:jc w:val="both"/>
        <w:rPr>
          <w:rFonts w:cstheme="minorHAnsi"/>
        </w:rPr>
      </w:pPr>
      <w:r w:rsidRPr="00F9112E">
        <w:rPr>
          <w:rFonts w:cstheme="minorHAnsi"/>
        </w:rPr>
        <w:t>S</w:t>
      </w:r>
      <w:r w:rsidR="00725F11" w:rsidRPr="00F9112E">
        <w:rPr>
          <w:rFonts w:cstheme="minorHAnsi"/>
        </w:rPr>
        <w:t>tudy design (</w:t>
      </w:r>
      <w:r w:rsidR="006403E5" w:rsidRPr="00F9112E">
        <w:rPr>
          <w:rFonts w:cstheme="minorHAnsi"/>
        </w:rPr>
        <w:t>e.g.,</w:t>
      </w:r>
      <w:r w:rsidR="00725F11" w:rsidRPr="00F9112E">
        <w:rPr>
          <w:rFonts w:cstheme="minorHAnsi"/>
        </w:rPr>
        <w:t xml:space="preserve"> RCT, non-randomised trial, </w:t>
      </w:r>
      <w:r w:rsidR="0088306E" w:rsidRPr="00F9112E">
        <w:rPr>
          <w:rFonts w:cstheme="minorHAnsi"/>
        </w:rPr>
        <w:t>q</w:t>
      </w:r>
      <w:r w:rsidR="00725F11" w:rsidRPr="00F9112E">
        <w:rPr>
          <w:rFonts w:cstheme="minorHAnsi"/>
        </w:rPr>
        <w:t>uasi-experimental, quantitative, qualitative)</w:t>
      </w:r>
      <w:r w:rsidRPr="00F9112E">
        <w:rPr>
          <w:rFonts w:cstheme="minorHAnsi"/>
        </w:rPr>
        <w:t xml:space="preserve"> (if relevant)</w:t>
      </w:r>
    </w:p>
    <w:p w14:paraId="539B3F04" w14:textId="066A2A26" w:rsidR="00AB7887" w:rsidRPr="00F9112E" w:rsidRDefault="0025511A" w:rsidP="00F05D5A">
      <w:pPr>
        <w:pStyle w:val="ListParagraph"/>
        <w:numPr>
          <w:ilvl w:val="0"/>
          <w:numId w:val="8"/>
        </w:numPr>
        <w:spacing w:line="360" w:lineRule="auto"/>
        <w:jc w:val="both"/>
        <w:rPr>
          <w:rFonts w:cstheme="minorHAnsi"/>
        </w:rPr>
      </w:pPr>
      <w:r w:rsidRPr="00F9112E">
        <w:rPr>
          <w:rFonts w:cstheme="minorHAnsi"/>
        </w:rPr>
        <w:t>A</w:t>
      </w:r>
      <w:r w:rsidR="00AB7887" w:rsidRPr="00F9112E">
        <w:rPr>
          <w:rFonts w:cstheme="minorHAnsi"/>
        </w:rPr>
        <w:t>ims/purpose</w:t>
      </w:r>
      <w:r w:rsidRPr="00F9112E">
        <w:rPr>
          <w:rFonts w:cstheme="minorHAnsi"/>
        </w:rPr>
        <w:t xml:space="preserve"> of </w:t>
      </w:r>
      <w:r w:rsidR="00E07462" w:rsidRPr="00F9112E">
        <w:rPr>
          <w:rFonts w:cstheme="minorHAnsi"/>
        </w:rPr>
        <w:t>article</w:t>
      </w:r>
    </w:p>
    <w:p w14:paraId="516A5D82" w14:textId="6E82AB69" w:rsidR="00AB7887" w:rsidRPr="00F9112E" w:rsidRDefault="00AB7887" w:rsidP="00F05D5A">
      <w:pPr>
        <w:pStyle w:val="ListParagraph"/>
        <w:numPr>
          <w:ilvl w:val="0"/>
          <w:numId w:val="8"/>
        </w:numPr>
        <w:spacing w:line="360" w:lineRule="auto"/>
        <w:jc w:val="both"/>
        <w:rPr>
          <w:rFonts w:cstheme="minorHAnsi"/>
        </w:rPr>
      </w:pPr>
      <w:r w:rsidRPr="00F9112E">
        <w:rPr>
          <w:rFonts w:cstheme="minorHAnsi"/>
        </w:rPr>
        <w:t xml:space="preserve">Study population and sample size </w:t>
      </w:r>
      <w:r w:rsidR="00E07462" w:rsidRPr="00F9112E">
        <w:rPr>
          <w:rFonts w:cstheme="minorHAnsi"/>
        </w:rPr>
        <w:t>(</w:t>
      </w:r>
      <w:r w:rsidRPr="00F9112E">
        <w:rPr>
          <w:rFonts w:cstheme="minorHAnsi"/>
        </w:rPr>
        <w:t>if relevant</w:t>
      </w:r>
      <w:r w:rsidR="00E07462" w:rsidRPr="00F9112E">
        <w:rPr>
          <w:rFonts w:cstheme="minorHAnsi"/>
        </w:rPr>
        <w:t>)</w:t>
      </w:r>
    </w:p>
    <w:p w14:paraId="64A1E2CC" w14:textId="638F5B94" w:rsidR="00725F11" w:rsidRPr="00F9112E" w:rsidRDefault="0025511A" w:rsidP="00F05D5A">
      <w:pPr>
        <w:pStyle w:val="ListParagraph"/>
        <w:numPr>
          <w:ilvl w:val="0"/>
          <w:numId w:val="8"/>
        </w:numPr>
        <w:spacing w:line="360" w:lineRule="auto"/>
        <w:jc w:val="both"/>
        <w:rPr>
          <w:rFonts w:cstheme="minorHAnsi"/>
        </w:rPr>
      </w:pPr>
      <w:r w:rsidRPr="00F9112E">
        <w:rPr>
          <w:rFonts w:cstheme="minorHAnsi"/>
        </w:rPr>
        <w:t>M</w:t>
      </w:r>
      <w:r w:rsidR="00725F11" w:rsidRPr="00F9112E">
        <w:rPr>
          <w:rFonts w:cstheme="minorHAnsi"/>
        </w:rPr>
        <w:t xml:space="preserve">ode of </w:t>
      </w:r>
      <w:r w:rsidR="00E07462" w:rsidRPr="00F9112E">
        <w:rPr>
          <w:rFonts w:cstheme="minorHAnsi"/>
        </w:rPr>
        <w:t>information/</w:t>
      </w:r>
      <w:r w:rsidR="00725F11" w:rsidRPr="00F9112E">
        <w:rPr>
          <w:rFonts w:cstheme="minorHAnsi"/>
        </w:rPr>
        <w:t xml:space="preserve">intervention </w:t>
      </w:r>
    </w:p>
    <w:p w14:paraId="0C27A753" w14:textId="7F566062" w:rsidR="00AB7887" w:rsidRPr="00F9112E" w:rsidRDefault="0025511A" w:rsidP="00F05D5A">
      <w:pPr>
        <w:pStyle w:val="ListParagraph"/>
        <w:numPr>
          <w:ilvl w:val="0"/>
          <w:numId w:val="8"/>
        </w:numPr>
        <w:spacing w:line="360" w:lineRule="auto"/>
        <w:jc w:val="both"/>
        <w:rPr>
          <w:rFonts w:cstheme="minorHAnsi"/>
        </w:rPr>
      </w:pPr>
      <w:r w:rsidRPr="00F9112E">
        <w:rPr>
          <w:rFonts w:cstheme="minorHAnsi"/>
        </w:rPr>
        <w:t>D</w:t>
      </w:r>
      <w:r w:rsidR="00AB7887" w:rsidRPr="00F9112E">
        <w:rPr>
          <w:rFonts w:cstheme="minorHAnsi"/>
        </w:rPr>
        <w:t>uration of the intervention</w:t>
      </w:r>
      <w:r w:rsidR="00E07462" w:rsidRPr="00F9112E">
        <w:rPr>
          <w:rFonts w:cstheme="minorHAnsi"/>
        </w:rPr>
        <w:t xml:space="preserve"> (if relevant)</w:t>
      </w:r>
    </w:p>
    <w:p w14:paraId="7324A8FB" w14:textId="0604FE4A" w:rsidR="00725F11" w:rsidRPr="00F9112E" w:rsidRDefault="0025511A" w:rsidP="00F05D5A">
      <w:pPr>
        <w:pStyle w:val="ListParagraph"/>
        <w:numPr>
          <w:ilvl w:val="0"/>
          <w:numId w:val="8"/>
        </w:numPr>
        <w:spacing w:line="360" w:lineRule="auto"/>
        <w:jc w:val="both"/>
        <w:rPr>
          <w:rFonts w:cstheme="minorHAnsi"/>
        </w:rPr>
      </w:pPr>
      <w:r w:rsidRPr="00F9112E">
        <w:rPr>
          <w:rFonts w:cstheme="minorHAnsi"/>
        </w:rPr>
        <w:t>K</w:t>
      </w:r>
      <w:r w:rsidR="00725F11" w:rsidRPr="00F9112E">
        <w:rPr>
          <w:rFonts w:cstheme="minorHAnsi"/>
        </w:rPr>
        <w:t>ey content (nutritional and or behavioural</w:t>
      </w:r>
      <w:r w:rsidR="00E07462" w:rsidRPr="00F9112E">
        <w:rPr>
          <w:rFonts w:cstheme="minorHAnsi"/>
        </w:rPr>
        <w:t xml:space="preserve"> change techniques</w:t>
      </w:r>
      <w:r w:rsidR="006403E5">
        <w:rPr>
          <w:rFonts w:cstheme="minorHAnsi"/>
        </w:rPr>
        <w:t>, evidence- or experience-based</w:t>
      </w:r>
      <w:r w:rsidR="00725F11" w:rsidRPr="00F9112E">
        <w:rPr>
          <w:rFonts w:cstheme="minorHAnsi"/>
        </w:rPr>
        <w:t>)</w:t>
      </w:r>
      <w:r w:rsidR="006403E5">
        <w:rPr>
          <w:rFonts w:cstheme="minorHAnsi"/>
        </w:rPr>
        <w:t xml:space="preserve"> and intensity/frequency of delivery of intervention content</w:t>
      </w:r>
    </w:p>
    <w:p w14:paraId="262C625C" w14:textId="198B5EAB" w:rsidR="00AB7887" w:rsidRPr="005517DB" w:rsidRDefault="00AB7887" w:rsidP="00F05D5A">
      <w:pPr>
        <w:pStyle w:val="ListParagraph"/>
        <w:numPr>
          <w:ilvl w:val="0"/>
          <w:numId w:val="8"/>
        </w:numPr>
        <w:spacing w:line="360" w:lineRule="auto"/>
        <w:jc w:val="both"/>
        <w:rPr>
          <w:rFonts w:cstheme="minorHAnsi"/>
        </w:rPr>
      </w:pPr>
      <w:r w:rsidRPr="00F9112E">
        <w:rPr>
          <w:rFonts w:cstheme="minorHAnsi"/>
        </w:rPr>
        <w:t>How the outcome of the intervention was measured</w:t>
      </w:r>
      <w:r w:rsidR="00E07462" w:rsidRPr="00F9112E">
        <w:rPr>
          <w:rFonts w:cstheme="minorHAnsi"/>
        </w:rPr>
        <w:t xml:space="preserve"> (if relevant)</w:t>
      </w:r>
    </w:p>
    <w:p w14:paraId="25B335DD" w14:textId="77777777" w:rsidR="0025511A" w:rsidRPr="00110F63" w:rsidRDefault="0025511A" w:rsidP="00F05D5A">
      <w:pPr>
        <w:spacing w:line="360" w:lineRule="auto"/>
        <w:jc w:val="both"/>
        <w:rPr>
          <w:rFonts w:cstheme="minorHAnsi"/>
        </w:rPr>
      </w:pPr>
    </w:p>
    <w:p w14:paraId="332C2155" w14:textId="109F4A3E" w:rsidR="00AB7887" w:rsidRPr="00110F63" w:rsidRDefault="00AB7887" w:rsidP="00F05D5A">
      <w:pPr>
        <w:spacing w:line="360" w:lineRule="auto"/>
        <w:jc w:val="both"/>
        <w:rPr>
          <w:rFonts w:cstheme="minorHAnsi"/>
        </w:rPr>
      </w:pPr>
      <w:r w:rsidRPr="00110F63">
        <w:rPr>
          <w:rFonts w:cstheme="minorHAnsi"/>
        </w:rPr>
        <w:t xml:space="preserve">The charting of information will be trialled of at least one of each of a) a peer reviewed article; b) a grey literature report; c) </w:t>
      </w:r>
      <w:r w:rsidR="00E07462">
        <w:rPr>
          <w:rFonts w:cstheme="minorHAnsi"/>
        </w:rPr>
        <w:t>a website</w:t>
      </w:r>
      <w:r w:rsidRPr="00110F63">
        <w:rPr>
          <w:rFonts w:cstheme="minorHAnsi"/>
        </w:rPr>
        <w:t>.  The form for charting results will be modified in an iterative way throughout charting</w:t>
      </w:r>
      <w:r w:rsidR="003946FD">
        <w:rPr>
          <w:rFonts w:cstheme="minorHAnsi"/>
        </w:rPr>
        <w:t>.</w:t>
      </w:r>
      <w:r w:rsidRPr="00110F63">
        <w:rPr>
          <w:rFonts w:cstheme="minorHAnsi"/>
        </w:rPr>
        <w:t xml:space="preserve"> </w:t>
      </w:r>
    </w:p>
    <w:p w14:paraId="69583ED6" w14:textId="4E9C44F6" w:rsidR="00977F81" w:rsidRDefault="00977F81" w:rsidP="00F05D5A">
      <w:pPr>
        <w:spacing w:line="360" w:lineRule="auto"/>
        <w:jc w:val="both"/>
        <w:rPr>
          <w:rFonts w:cstheme="minorHAnsi"/>
        </w:rPr>
      </w:pPr>
    </w:p>
    <w:p w14:paraId="676EC0E9" w14:textId="5F5AC780" w:rsidR="004A2C58" w:rsidRPr="00A12D15" w:rsidRDefault="00A12D15" w:rsidP="00F05D5A">
      <w:pPr>
        <w:spacing w:line="360" w:lineRule="auto"/>
        <w:jc w:val="both"/>
        <w:rPr>
          <w:rFonts w:cstheme="minorHAnsi"/>
          <w:b/>
          <w:bCs/>
        </w:rPr>
      </w:pPr>
      <w:r>
        <w:rPr>
          <w:rFonts w:cstheme="minorHAnsi"/>
          <w:b/>
          <w:bCs/>
        </w:rPr>
        <w:t>10</w:t>
      </w:r>
      <w:r w:rsidR="004A2C58" w:rsidRPr="00A12D15">
        <w:rPr>
          <w:rFonts w:cstheme="minorHAnsi"/>
          <w:b/>
          <w:bCs/>
        </w:rPr>
        <w:t>. Presentation of results</w:t>
      </w:r>
    </w:p>
    <w:p w14:paraId="5C0E7E76" w14:textId="59F20140" w:rsidR="00977F81" w:rsidRDefault="00A12D15" w:rsidP="00F05D5A">
      <w:pPr>
        <w:spacing w:line="360" w:lineRule="auto"/>
        <w:jc w:val="both"/>
        <w:rPr>
          <w:rFonts w:cstheme="minorHAnsi"/>
        </w:rPr>
      </w:pPr>
      <w:r>
        <w:rPr>
          <w:rFonts w:cstheme="minorHAnsi"/>
        </w:rPr>
        <w:t xml:space="preserve">The overall types of articles identified will be tabulated to present the number of included information sources by a) country; b) peer reviewed (total number and sub divided by type of article); c) grey literature (total number and sub divided by origin of material i.e. government, professional organisation; dental health provider, oral care company).   A second table will summarise the content of the identified advice, </w:t>
      </w:r>
      <w:r w:rsidR="006403E5">
        <w:rPr>
          <w:rFonts w:cstheme="minorHAnsi"/>
        </w:rPr>
        <w:t>including</w:t>
      </w:r>
      <w:r>
        <w:rPr>
          <w:rFonts w:cstheme="minorHAnsi"/>
        </w:rPr>
        <w:t xml:space="preserve"> key messages, different modes of advice, the summary tables a</w:t>
      </w:r>
      <w:r w:rsidR="00E07462">
        <w:rPr>
          <w:rFonts w:cstheme="minorHAnsi"/>
        </w:rPr>
        <w:t xml:space="preserve"> </w:t>
      </w:r>
      <w:r w:rsidR="00977F81">
        <w:rPr>
          <w:rFonts w:cstheme="minorHAnsi"/>
        </w:rPr>
        <w:t xml:space="preserve">narrative of </w:t>
      </w:r>
      <w:r w:rsidR="00E07462">
        <w:rPr>
          <w:rFonts w:cstheme="minorHAnsi"/>
        </w:rPr>
        <w:t xml:space="preserve">the </w:t>
      </w:r>
      <w:r w:rsidR="00977F81">
        <w:rPr>
          <w:rFonts w:cstheme="minorHAnsi"/>
        </w:rPr>
        <w:t xml:space="preserve">findings will be </w:t>
      </w:r>
      <w:r>
        <w:rPr>
          <w:rFonts w:cstheme="minorHAnsi"/>
        </w:rPr>
        <w:t>provided including the</w:t>
      </w:r>
      <w:r w:rsidR="00E07462">
        <w:rPr>
          <w:rFonts w:cstheme="minorHAnsi"/>
        </w:rPr>
        <w:t xml:space="preserve"> implications of the findings for policy, practice and for future research. </w:t>
      </w:r>
    </w:p>
    <w:p w14:paraId="15EF81D2" w14:textId="205409BE" w:rsidR="00A12D15" w:rsidRDefault="00A12D15" w:rsidP="00110F63">
      <w:pPr>
        <w:spacing w:line="276" w:lineRule="auto"/>
        <w:jc w:val="both"/>
        <w:rPr>
          <w:rFonts w:cstheme="minorHAnsi"/>
        </w:rPr>
      </w:pPr>
    </w:p>
    <w:p w14:paraId="27F870E7" w14:textId="511C7ADA" w:rsidR="00EB521B" w:rsidRPr="006B31F8" w:rsidRDefault="00A12D15" w:rsidP="006B31F8">
      <w:pPr>
        <w:spacing w:line="276" w:lineRule="auto"/>
        <w:ind w:left="142" w:hanging="142"/>
        <w:jc w:val="both"/>
        <w:rPr>
          <w:rFonts w:cstheme="minorHAnsi"/>
          <w:b/>
          <w:bCs/>
          <w:sz w:val="22"/>
          <w:szCs w:val="22"/>
        </w:rPr>
      </w:pPr>
      <w:r w:rsidRPr="006B31F8">
        <w:rPr>
          <w:rFonts w:cstheme="minorHAnsi"/>
          <w:b/>
          <w:bCs/>
          <w:sz w:val="22"/>
          <w:szCs w:val="22"/>
        </w:rPr>
        <w:t>11. References</w:t>
      </w:r>
    </w:p>
    <w:p w14:paraId="0AC3EC3A" w14:textId="57431796" w:rsidR="00EC3758" w:rsidRPr="006B31F8" w:rsidRDefault="00C51F08" w:rsidP="006B31F8">
      <w:pPr>
        <w:ind w:left="142" w:hanging="142"/>
        <w:jc w:val="both"/>
        <w:rPr>
          <w:rFonts w:eastAsia="Times New Roman" w:cstheme="minorHAnsi"/>
          <w:color w:val="000000" w:themeColor="text1"/>
          <w:sz w:val="22"/>
          <w:szCs w:val="22"/>
          <w:shd w:val="clear" w:color="auto" w:fill="F9F2F4"/>
          <w:lang w:eastAsia="en-GB"/>
        </w:rPr>
      </w:pPr>
      <w:r w:rsidRPr="006B31F8">
        <w:rPr>
          <w:rFonts w:cstheme="minorHAnsi"/>
          <w:color w:val="000000" w:themeColor="text1"/>
          <w:sz w:val="22"/>
          <w:szCs w:val="22"/>
        </w:rPr>
        <w:t xml:space="preserve">Al-Sultani </w:t>
      </w:r>
      <w:r w:rsidR="00F738CC" w:rsidRPr="006B31F8">
        <w:rPr>
          <w:rFonts w:cstheme="minorHAnsi"/>
          <w:color w:val="000000" w:themeColor="text1"/>
          <w:sz w:val="22"/>
          <w:szCs w:val="22"/>
        </w:rPr>
        <w:t xml:space="preserve">H. </w:t>
      </w:r>
      <w:r w:rsidRPr="006B31F8">
        <w:rPr>
          <w:rFonts w:cstheme="minorHAnsi"/>
          <w:color w:val="000000" w:themeColor="text1"/>
          <w:sz w:val="22"/>
          <w:szCs w:val="22"/>
        </w:rPr>
        <w:t>2018</w:t>
      </w:r>
      <w:r w:rsidR="00F738CC" w:rsidRPr="006B31F8">
        <w:rPr>
          <w:rFonts w:cstheme="minorHAnsi"/>
          <w:color w:val="000000" w:themeColor="text1"/>
          <w:sz w:val="22"/>
          <w:szCs w:val="22"/>
        </w:rPr>
        <w:t>. Development of patient centric eating advice and intervention that considers the impact of wearing dentures on eating related quality</w:t>
      </w:r>
      <w:r w:rsidR="006403E5">
        <w:rPr>
          <w:rFonts w:cstheme="minorHAnsi"/>
          <w:color w:val="000000" w:themeColor="text1"/>
          <w:sz w:val="22"/>
          <w:szCs w:val="22"/>
        </w:rPr>
        <w:t xml:space="preserve"> o</w:t>
      </w:r>
      <w:r w:rsidR="00F738CC" w:rsidRPr="006B31F8">
        <w:rPr>
          <w:rFonts w:cstheme="minorHAnsi"/>
          <w:color w:val="000000" w:themeColor="text1"/>
          <w:sz w:val="22"/>
          <w:szCs w:val="22"/>
        </w:rPr>
        <w:t xml:space="preserve">f life. PhD Thesis Newcastle University, UK </w:t>
      </w:r>
      <w:hyperlink r:id="rId11" w:history="1">
        <w:r w:rsidR="006403E5" w:rsidRPr="006403E5">
          <w:rPr>
            <w:rStyle w:val="Hyperlink"/>
            <w:sz w:val="22"/>
            <w:szCs w:val="22"/>
          </w:rPr>
          <w:t>http://theses.ncl.ac.uk/jspui/handle/10443/4299</w:t>
        </w:r>
        <w:r w:rsidR="006403E5" w:rsidRPr="006403E5">
          <w:rPr>
            <w:rStyle w:val="Hyperlink"/>
            <w:rFonts w:cstheme="minorHAnsi"/>
            <w:sz w:val="22"/>
            <w:szCs w:val="22"/>
          </w:rPr>
          <w:t>/</w:t>
        </w:r>
      </w:hyperlink>
      <w:r w:rsidR="006403E5">
        <w:rPr>
          <w:rFonts w:cstheme="minorHAnsi"/>
          <w:color w:val="000000" w:themeColor="text1"/>
          <w:sz w:val="22"/>
          <w:szCs w:val="22"/>
        </w:rPr>
        <w:t xml:space="preserve"> </w:t>
      </w:r>
    </w:p>
    <w:p w14:paraId="1522536C" w14:textId="7687142A" w:rsidR="00C51F08" w:rsidRPr="006B31F8" w:rsidRDefault="00EC3758" w:rsidP="006B31F8">
      <w:pPr>
        <w:ind w:left="142" w:hanging="142"/>
        <w:jc w:val="both"/>
        <w:rPr>
          <w:rFonts w:eastAsia="Times New Roman" w:cstheme="minorHAnsi"/>
          <w:color w:val="000000" w:themeColor="text1"/>
          <w:sz w:val="22"/>
          <w:szCs w:val="22"/>
          <w:lang w:eastAsia="en-GB"/>
        </w:rPr>
      </w:pPr>
      <w:r w:rsidRPr="006403E5">
        <w:rPr>
          <w:rFonts w:cstheme="minorHAnsi"/>
          <w:color w:val="000000" w:themeColor="text1"/>
          <w:sz w:val="22"/>
          <w:szCs w:val="22"/>
        </w:rPr>
        <w:lastRenderedPageBreak/>
        <w:t>Al-Sultani H, Field J, Thomason J M, Moynihan P J 2018. The impact of replacement conventional dentures on eating experience. Journal of Dental Research, Clinical Translational Research DOI:</w:t>
      </w:r>
      <w:r w:rsidRPr="006B31F8">
        <w:rPr>
          <w:rFonts w:cstheme="minorHAnsi"/>
          <w:sz w:val="22"/>
          <w:szCs w:val="22"/>
          <w:lang w:val="en-GB"/>
        </w:rPr>
        <w:t xml:space="preserve"> 10.1177/2380084418803091.</w:t>
      </w:r>
    </w:p>
    <w:p w14:paraId="2B622812" w14:textId="77777777" w:rsidR="006B31F8" w:rsidRPr="006B31F8" w:rsidRDefault="00CA5D07" w:rsidP="006B31F8">
      <w:pPr>
        <w:autoSpaceDE w:val="0"/>
        <w:autoSpaceDN w:val="0"/>
        <w:adjustRightInd w:val="0"/>
        <w:ind w:left="142" w:right="-52" w:hanging="142"/>
        <w:jc w:val="both"/>
        <w:rPr>
          <w:rFonts w:cstheme="minorHAnsi"/>
          <w:sz w:val="22"/>
          <w:szCs w:val="22"/>
        </w:rPr>
      </w:pPr>
      <w:r w:rsidRPr="006B31F8">
        <w:rPr>
          <w:rFonts w:cstheme="minorHAnsi"/>
          <w:sz w:val="22"/>
          <w:szCs w:val="22"/>
        </w:rPr>
        <w:t>Bradbury J, Thomason J M, Jepson N J A, Walls A W G, Allan P F, Moynihan P J (2005).  Nutrition counse</w:t>
      </w:r>
      <w:r w:rsidR="006B31F8" w:rsidRPr="006B31F8">
        <w:rPr>
          <w:rFonts w:cstheme="minorHAnsi"/>
          <w:sz w:val="22"/>
          <w:szCs w:val="22"/>
        </w:rPr>
        <w:t>l</w:t>
      </w:r>
      <w:r w:rsidRPr="006B31F8">
        <w:rPr>
          <w:rFonts w:cstheme="minorHAnsi"/>
          <w:sz w:val="22"/>
          <w:szCs w:val="22"/>
        </w:rPr>
        <w:t>ling increases fruit and vegetable consumption in the edentulous.  Journal of Dental Research 85 (5) 463-468.</w:t>
      </w:r>
    </w:p>
    <w:p w14:paraId="6EDC940E" w14:textId="1552FA89" w:rsidR="00CA5D07" w:rsidRPr="00F9112E" w:rsidRDefault="00B32DE0" w:rsidP="006B31F8">
      <w:pPr>
        <w:autoSpaceDE w:val="0"/>
        <w:autoSpaceDN w:val="0"/>
        <w:adjustRightInd w:val="0"/>
        <w:ind w:left="142" w:right="-52" w:hanging="142"/>
        <w:jc w:val="both"/>
        <w:rPr>
          <w:rFonts w:eastAsia="SimSun" w:cstheme="minorHAnsi"/>
          <w:sz w:val="22"/>
          <w:szCs w:val="22"/>
          <w:lang w:val="de-DE"/>
        </w:rPr>
      </w:pPr>
      <w:r w:rsidRPr="006B31F8">
        <w:rPr>
          <w:rFonts w:cstheme="minorHAnsi"/>
          <w:sz w:val="22"/>
          <w:szCs w:val="22"/>
        </w:rPr>
        <w:t xml:space="preserve">de Andrade B F, Lebrão M L Aparecida de Oliveira Duarte Y, Lício Ferreira Santos J. Oral health and changes in weight and waist circumference among community- dwelling older adults in Brazil. </w:t>
      </w:r>
      <w:r w:rsidRPr="00F9112E">
        <w:rPr>
          <w:rFonts w:cstheme="minorHAnsi"/>
          <w:sz w:val="22"/>
          <w:szCs w:val="22"/>
          <w:lang w:val="de-DE"/>
        </w:rPr>
        <w:t xml:space="preserve">JADA 2014;145(7):731-736 </w:t>
      </w:r>
    </w:p>
    <w:p w14:paraId="30F0BBA5" w14:textId="2743CB57" w:rsidR="00CA5D07" w:rsidRPr="006B31F8" w:rsidRDefault="00CA5D07" w:rsidP="006B31F8">
      <w:pPr>
        <w:autoSpaceDE w:val="0"/>
        <w:autoSpaceDN w:val="0"/>
        <w:adjustRightInd w:val="0"/>
        <w:ind w:left="142" w:right="-52" w:hanging="142"/>
        <w:jc w:val="both"/>
        <w:rPr>
          <w:rFonts w:cstheme="minorHAnsi"/>
          <w:color w:val="000000"/>
          <w:sz w:val="22"/>
          <w:szCs w:val="22"/>
          <w:lang w:val="en-GB"/>
        </w:rPr>
      </w:pPr>
      <w:r w:rsidRPr="00F9112E">
        <w:rPr>
          <w:rFonts w:cstheme="minorHAnsi"/>
          <w:color w:val="000000"/>
          <w:sz w:val="22"/>
          <w:szCs w:val="22"/>
          <w:lang w:val="de-DE"/>
        </w:rPr>
        <w:t xml:space="preserve">Hamada, M. O., N. R. Garrett, E. D. Roumanas, K. K. Kapur, E. Freymiller, T. Han, R. M. Diener, T. Chen, and S. Levin. </w:t>
      </w:r>
      <w:r w:rsidRPr="006B31F8">
        <w:rPr>
          <w:rFonts w:cstheme="minorHAnsi"/>
          <w:color w:val="000000"/>
          <w:sz w:val="22"/>
          <w:szCs w:val="22"/>
          <w:lang w:val="en-GB"/>
        </w:rPr>
        <w:t>2001. A randomized clinical trial comparing the efficacy of mandibular</w:t>
      </w:r>
    </w:p>
    <w:p w14:paraId="4515DE7F" w14:textId="77777777" w:rsidR="006B31F8" w:rsidRPr="006B31F8" w:rsidRDefault="00CA5D07" w:rsidP="006B31F8">
      <w:pPr>
        <w:autoSpaceDE w:val="0"/>
        <w:autoSpaceDN w:val="0"/>
        <w:adjustRightInd w:val="0"/>
        <w:ind w:left="142" w:right="-52" w:hanging="142"/>
        <w:jc w:val="both"/>
        <w:rPr>
          <w:rFonts w:cstheme="minorHAnsi"/>
          <w:color w:val="000081"/>
          <w:sz w:val="22"/>
          <w:szCs w:val="22"/>
          <w:lang w:val="en-GB"/>
        </w:rPr>
      </w:pPr>
      <w:r w:rsidRPr="006B31F8">
        <w:rPr>
          <w:rFonts w:cstheme="minorHAnsi"/>
          <w:color w:val="000000"/>
          <w:sz w:val="22"/>
          <w:szCs w:val="22"/>
          <w:lang w:val="en-GB"/>
        </w:rPr>
        <w:t xml:space="preserve">implant-supported overdentures and conventional dentures in diabetic patients. Part IV: Comparisons of dietary intake. The Journal of Prosthetic Dentistry 85 (1):53–60. doi: </w:t>
      </w:r>
      <w:r w:rsidRPr="006B31F8">
        <w:rPr>
          <w:rFonts w:cstheme="minorHAnsi"/>
          <w:color w:val="000081"/>
          <w:sz w:val="22"/>
          <w:szCs w:val="22"/>
          <w:lang w:val="en-GB"/>
        </w:rPr>
        <w:t>10.1067/mpr.2001.112491</w:t>
      </w:r>
    </w:p>
    <w:p w14:paraId="219AE978" w14:textId="43ECB194" w:rsidR="00CA5D07" w:rsidRPr="006B31F8" w:rsidRDefault="00CA5D07" w:rsidP="006B31F8">
      <w:pPr>
        <w:autoSpaceDE w:val="0"/>
        <w:autoSpaceDN w:val="0"/>
        <w:adjustRightInd w:val="0"/>
        <w:ind w:left="142" w:right="-52" w:hanging="142"/>
        <w:jc w:val="both"/>
        <w:rPr>
          <w:rFonts w:cstheme="minorHAnsi"/>
          <w:color w:val="000000"/>
          <w:sz w:val="22"/>
          <w:szCs w:val="22"/>
          <w:lang w:val="en-GB"/>
        </w:rPr>
      </w:pPr>
      <w:r w:rsidRPr="006B31F8">
        <w:rPr>
          <w:rFonts w:cstheme="minorHAnsi"/>
          <w:sz w:val="22"/>
          <w:szCs w:val="22"/>
        </w:rPr>
        <w:t xml:space="preserve">Hyland RM, Ellis JS, Thomason JM, Elfeky A, Moynihan PJ. </w:t>
      </w:r>
      <w:hyperlink r:id="rId12" w:tooltip="view complete information on this publication" w:history="1">
        <w:r w:rsidRPr="006B31F8">
          <w:rPr>
            <w:rStyle w:val="Hyperlink"/>
            <w:rFonts w:cstheme="minorHAnsi"/>
            <w:sz w:val="22"/>
            <w:szCs w:val="22"/>
          </w:rPr>
          <w:t>A qualitative study on patient perspectives of how conventional and implant-supported dentures affect eating</w:t>
        </w:r>
      </w:hyperlink>
      <w:r w:rsidRPr="006B31F8">
        <w:rPr>
          <w:rFonts w:cstheme="minorHAnsi"/>
          <w:sz w:val="22"/>
          <w:szCs w:val="22"/>
        </w:rPr>
        <w:t xml:space="preserve">. </w:t>
      </w:r>
      <w:r w:rsidRPr="006B31F8">
        <w:rPr>
          <w:rFonts w:cstheme="minorHAnsi"/>
          <w:i/>
          <w:iCs/>
          <w:sz w:val="22"/>
          <w:szCs w:val="22"/>
        </w:rPr>
        <w:t>Journal of Dentistry</w:t>
      </w:r>
      <w:r w:rsidRPr="006B31F8">
        <w:rPr>
          <w:rFonts w:cstheme="minorHAnsi"/>
          <w:sz w:val="22"/>
          <w:szCs w:val="22"/>
        </w:rPr>
        <w:t xml:space="preserve"> 2009, </w:t>
      </w:r>
      <w:r w:rsidRPr="006B31F8">
        <w:rPr>
          <w:rFonts w:cstheme="minorHAnsi"/>
          <w:b/>
          <w:bCs/>
          <w:sz w:val="22"/>
          <w:szCs w:val="22"/>
        </w:rPr>
        <w:t>37</w:t>
      </w:r>
      <w:r w:rsidRPr="006B31F8">
        <w:rPr>
          <w:rFonts w:cstheme="minorHAnsi"/>
          <w:sz w:val="22"/>
          <w:szCs w:val="22"/>
        </w:rPr>
        <w:t>, 718-723.</w:t>
      </w:r>
    </w:p>
    <w:p w14:paraId="24969B5D" w14:textId="7305861A" w:rsidR="00CA5D07" w:rsidRPr="006B31F8" w:rsidRDefault="00CA5D07" w:rsidP="006B31F8">
      <w:pPr>
        <w:ind w:left="142" w:hanging="142"/>
        <w:jc w:val="both"/>
        <w:rPr>
          <w:rFonts w:eastAsia="Times New Roman" w:cstheme="minorHAnsi"/>
          <w:color w:val="000000"/>
          <w:sz w:val="22"/>
          <w:szCs w:val="22"/>
          <w:lang w:eastAsia="en-GB"/>
        </w:rPr>
      </w:pPr>
      <w:r w:rsidRPr="006B31F8">
        <w:rPr>
          <w:rFonts w:eastAsia="Times New Roman" w:cstheme="minorHAnsi"/>
          <w:color w:val="000000"/>
          <w:sz w:val="22"/>
          <w:szCs w:val="22"/>
          <w:lang w:eastAsia="en-GB"/>
        </w:rPr>
        <w:t>Iwasaki M, Yoshihara A, Ogawa H, Sato M, Muramatsu K, Watanabe R, Ansai T, Miyazaki H.</w:t>
      </w:r>
      <w:r w:rsidRPr="006B31F8">
        <w:rPr>
          <w:rFonts w:cstheme="minorHAnsi"/>
          <w:color w:val="000000"/>
          <w:sz w:val="22"/>
          <w:szCs w:val="22"/>
        </w:rPr>
        <w:t xml:space="preserve"> </w:t>
      </w:r>
      <w:r w:rsidRPr="006B31F8">
        <w:rPr>
          <w:rFonts w:eastAsia="Times New Roman" w:cstheme="minorHAnsi"/>
          <w:color w:val="000000"/>
          <w:sz w:val="22"/>
          <w:szCs w:val="22"/>
          <w:lang w:eastAsia="en-GB"/>
        </w:rPr>
        <w:t>Longitudinal association of dentition status with dietary intake in Japanese adults aged 75 to 80 years.</w:t>
      </w:r>
      <w:r w:rsidRPr="006B31F8">
        <w:rPr>
          <w:rFonts w:cstheme="minorHAnsi"/>
          <w:color w:val="000000"/>
          <w:sz w:val="22"/>
          <w:szCs w:val="22"/>
        </w:rPr>
        <w:t xml:space="preserve"> </w:t>
      </w:r>
      <w:r w:rsidRPr="006B31F8">
        <w:rPr>
          <w:rFonts w:eastAsia="Times New Roman" w:cstheme="minorHAnsi"/>
          <w:color w:val="000000"/>
          <w:sz w:val="22"/>
          <w:szCs w:val="22"/>
          <w:lang w:eastAsia="en-GB"/>
        </w:rPr>
        <w:t>J Oral Rehabil. 2016; 43(10): 737-744.</w:t>
      </w:r>
    </w:p>
    <w:p w14:paraId="3D331FC9" w14:textId="6A655DAB" w:rsidR="00B50EC3" w:rsidRPr="006B31F8" w:rsidRDefault="00B50EC3" w:rsidP="006B31F8">
      <w:pPr>
        <w:ind w:left="142" w:hanging="142"/>
        <w:rPr>
          <w:rFonts w:cstheme="minorHAnsi"/>
          <w:color w:val="000000"/>
          <w:sz w:val="22"/>
          <w:szCs w:val="22"/>
        </w:rPr>
      </w:pPr>
      <w:r w:rsidRPr="006B31F8">
        <w:rPr>
          <w:rFonts w:cstheme="minorHAnsi"/>
          <w:color w:val="000000"/>
          <w:sz w:val="22"/>
          <w:szCs w:val="22"/>
        </w:rPr>
        <w:t xml:space="preserve">Kelly SAM, Hyland RM, Ellis JS, Thomason JM, Moynihan PJ. (2012) </w:t>
      </w:r>
      <w:hyperlink r:id="rId13" w:tooltip="View full details of this publication." w:history="1">
        <w:r w:rsidRPr="006B31F8">
          <w:rPr>
            <w:rStyle w:val="Hyperlink"/>
            <w:rFonts w:cstheme="minorHAnsi"/>
            <w:sz w:val="22"/>
            <w:szCs w:val="22"/>
          </w:rPr>
          <w:t>Development of a patient-based questionnaire about emotional and social issues related to eating with dentures</w:t>
        </w:r>
      </w:hyperlink>
      <w:r w:rsidRPr="006B31F8">
        <w:rPr>
          <w:rFonts w:cstheme="minorHAnsi"/>
          <w:color w:val="000000"/>
          <w:sz w:val="22"/>
          <w:szCs w:val="22"/>
        </w:rPr>
        <w:t xml:space="preserve">. </w:t>
      </w:r>
      <w:r w:rsidRPr="006B31F8">
        <w:rPr>
          <w:rStyle w:val="Emphasis"/>
          <w:rFonts w:cstheme="minorHAnsi"/>
          <w:i w:val="0"/>
          <w:iCs w:val="0"/>
          <w:color w:val="000000"/>
          <w:sz w:val="22"/>
          <w:szCs w:val="22"/>
        </w:rPr>
        <w:t>Journal of Dentistry</w:t>
      </w:r>
      <w:r w:rsidRPr="006B31F8">
        <w:rPr>
          <w:rFonts w:cstheme="minorHAnsi"/>
          <w:i/>
          <w:iCs/>
          <w:color w:val="000000"/>
          <w:sz w:val="22"/>
          <w:szCs w:val="22"/>
        </w:rPr>
        <w:t>,</w:t>
      </w:r>
      <w:r w:rsidRPr="006B31F8">
        <w:rPr>
          <w:rFonts w:cstheme="minorHAnsi"/>
          <w:color w:val="000000"/>
          <w:sz w:val="22"/>
          <w:szCs w:val="22"/>
        </w:rPr>
        <w:t xml:space="preserve"> </w:t>
      </w:r>
      <w:r w:rsidRPr="006B31F8">
        <w:rPr>
          <w:rStyle w:val="Strong"/>
          <w:rFonts w:cstheme="minorHAnsi"/>
          <w:b w:val="0"/>
          <w:color w:val="000000"/>
          <w:sz w:val="22"/>
          <w:szCs w:val="22"/>
        </w:rPr>
        <w:t>40</w:t>
      </w:r>
      <w:r w:rsidRPr="006B31F8">
        <w:rPr>
          <w:rFonts w:cstheme="minorHAnsi"/>
          <w:b/>
          <w:color w:val="000000"/>
          <w:sz w:val="22"/>
          <w:szCs w:val="22"/>
        </w:rPr>
        <w:t>,</w:t>
      </w:r>
      <w:r w:rsidRPr="006B31F8">
        <w:rPr>
          <w:rFonts w:cstheme="minorHAnsi"/>
          <w:color w:val="000000"/>
          <w:sz w:val="22"/>
          <w:szCs w:val="22"/>
        </w:rPr>
        <w:t xml:space="preserve"> 678-685.</w:t>
      </w:r>
    </w:p>
    <w:p w14:paraId="758B1489" w14:textId="4B358AF9" w:rsidR="00CA5D07" w:rsidRPr="006B31F8" w:rsidRDefault="00CA5D07" w:rsidP="006B31F8">
      <w:pPr>
        <w:autoSpaceDE w:val="0"/>
        <w:autoSpaceDN w:val="0"/>
        <w:adjustRightInd w:val="0"/>
        <w:ind w:left="142" w:hanging="142"/>
        <w:jc w:val="both"/>
        <w:rPr>
          <w:rFonts w:eastAsiaTheme="minorEastAsia" w:cstheme="minorHAnsi"/>
          <w:sz w:val="22"/>
          <w:szCs w:val="22"/>
          <w:lang w:val="en-GB"/>
        </w:rPr>
      </w:pPr>
      <w:r w:rsidRPr="006B31F8">
        <w:rPr>
          <w:rFonts w:cstheme="minorHAnsi"/>
          <w:sz w:val="22"/>
          <w:szCs w:val="22"/>
        </w:rPr>
        <w:t xml:space="preserve">Lee S J, Weyant R J, Corby P, Kritchevsky B, Harris T B, Rooks R, Subin SM, Newman AB. </w:t>
      </w:r>
      <w:r w:rsidRPr="006B31F8">
        <w:rPr>
          <w:rFonts w:eastAsiaTheme="minorEastAsia" w:cstheme="minorHAnsi"/>
          <w:sz w:val="22"/>
          <w:szCs w:val="22"/>
          <w:lang w:val="en-GB"/>
        </w:rPr>
        <w:t xml:space="preserve">Edentulism and nutritional status in a biracial sample of well-functioning, community-dwelling elderly: the Health, Aging, and Body Composition Study 1. </w:t>
      </w:r>
      <w:r w:rsidRPr="006B31F8">
        <w:rPr>
          <w:rFonts w:cstheme="minorHAnsi"/>
          <w:sz w:val="22"/>
          <w:szCs w:val="22"/>
        </w:rPr>
        <w:t>American Journal of Clinical Nutrition 2004; 79 (2): 295-302.</w:t>
      </w:r>
    </w:p>
    <w:p w14:paraId="6D982C31" w14:textId="60213E48" w:rsidR="00CA5D07" w:rsidRPr="006B31F8" w:rsidRDefault="00CA5D07" w:rsidP="006B31F8">
      <w:pPr>
        <w:autoSpaceDE w:val="0"/>
        <w:autoSpaceDN w:val="0"/>
        <w:adjustRightInd w:val="0"/>
        <w:ind w:left="142" w:hanging="142"/>
        <w:jc w:val="both"/>
        <w:rPr>
          <w:rFonts w:cstheme="minorHAnsi"/>
          <w:color w:val="131413"/>
          <w:sz w:val="22"/>
          <w:szCs w:val="22"/>
          <w:lang w:val="en-GB"/>
        </w:rPr>
      </w:pPr>
      <w:r w:rsidRPr="006B31F8">
        <w:rPr>
          <w:rFonts w:cstheme="minorHAnsi"/>
          <w:color w:val="131413"/>
          <w:sz w:val="22"/>
          <w:szCs w:val="22"/>
          <w:lang w:val="en-GB"/>
        </w:rPr>
        <w:t>Michael CG, Javid NS, Collaizzi F A, Gibbs C H (1990. Biting strength and chewing forces in complete denture wearers J. Prostht Dent 63: 549-553.</w:t>
      </w:r>
    </w:p>
    <w:p w14:paraId="2B7DF56F" w14:textId="06227329" w:rsidR="00CA5D07" w:rsidRPr="006B31F8" w:rsidRDefault="00B32DE0" w:rsidP="006B31F8">
      <w:pPr>
        <w:ind w:left="142" w:hanging="142"/>
        <w:jc w:val="both"/>
        <w:rPr>
          <w:rFonts w:cstheme="minorHAnsi"/>
          <w:sz w:val="22"/>
          <w:szCs w:val="22"/>
        </w:rPr>
      </w:pPr>
      <w:r w:rsidRPr="006B31F8">
        <w:rPr>
          <w:rFonts w:cstheme="minorHAnsi"/>
          <w:sz w:val="22"/>
          <w:szCs w:val="22"/>
        </w:rPr>
        <w:t>Madhuri S, Hegde SS, Ravi S, Deepti A, Simpy M. Comparison of chewing ability, oral health related quality of life and nutritional status before and after insertion of complete denture amongst edentulous patients in a Dental College of Pune. Ethiop J Health Sci 2014;24(3):253–60.</w:t>
      </w:r>
    </w:p>
    <w:p w14:paraId="0A146FC4" w14:textId="4A3BCE14" w:rsidR="00CA5D07" w:rsidRPr="006B31F8" w:rsidRDefault="00F738CC" w:rsidP="006B31F8">
      <w:pPr>
        <w:autoSpaceDE w:val="0"/>
        <w:autoSpaceDN w:val="0"/>
        <w:adjustRightInd w:val="0"/>
        <w:ind w:left="142" w:hanging="142"/>
        <w:jc w:val="both"/>
        <w:rPr>
          <w:rFonts w:cstheme="minorHAnsi"/>
          <w:sz w:val="22"/>
          <w:szCs w:val="22"/>
          <w:lang w:val="en-GB"/>
        </w:rPr>
      </w:pPr>
      <w:r w:rsidRPr="006B31F8">
        <w:rPr>
          <w:rFonts w:cstheme="minorHAnsi"/>
          <w:sz w:val="22"/>
          <w:szCs w:val="22"/>
          <w:lang w:val="en-GB"/>
        </w:rPr>
        <w:t>Mcgowan,</w:t>
      </w:r>
      <w:r w:rsidR="00B50EC3" w:rsidRPr="006B31F8">
        <w:rPr>
          <w:rFonts w:cstheme="minorHAnsi"/>
          <w:sz w:val="22"/>
          <w:szCs w:val="22"/>
          <w:lang w:val="en-GB"/>
        </w:rPr>
        <w:t xml:space="preserve"> L. </w:t>
      </w:r>
      <w:r w:rsidRPr="006B31F8">
        <w:rPr>
          <w:rFonts w:cstheme="minorHAnsi"/>
          <w:sz w:val="22"/>
          <w:szCs w:val="22"/>
          <w:lang w:val="en-GB"/>
        </w:rPr>
        <w:t xml:space="preserve"> Leigh-Ann Mccrum, Sinead Watson, Christopher Cardwell,</w:t>
      </w:r>
      <w:r w:rsidR="006B31F8">
        <w:rPr>
          <w:rFonts w:cstheme="minorHAnsi"/>
          <w:sz w:val="22"/>
          <w:szCs w:val="22"/>
          <w:lang w:val="en-GB"/>
        </w:rPr>
        <w:t xml:space="preserve"> </w:t>
      </w:r>
      <w:r w:rsidRPr="006B31F8">
        <w:rPr>
          <w:rFonts w:cstheme="minorHAnsi"/>
          <w:sz w:val="22"/>
          <w:szCs w:val="22"/>
          <w:lang w:val="en-GB"/>
        </w:rPr>
        <w:t>Bernadette McGuinness, Helen Rutherford, Victoria Paice, Ciaran Moore, Paul R. Brocklehurst,</w:t>
      </w:r>
      <w:r w:rsidR="00B32DE0" w:rsidRPr="006B31F8">
        <w:rPr>
          <w:rFonts w:cstheme="minorHAnsi"/>
          <w:sz w:val="22"/>
          <w:szCs w:val="22"/>
          <w:lang w:val="en-GB"/>
        </w:rPr>
        <w:t xml:space="preserve"> </w:t>
      </w:r>
      <w:r w:rsidRPr="006B31F8">
        <w:rPr>
          <w:rFonts w:cstheme="minorHAnsi"/>
          <w:sz w:val="22"/>
          <w:szCs w:val="22"/>
          <w:lang w:val="en-GB"/>
        </w:rPr>
        <w:t xml:space="preserve">Jayne </w:t>
      </w:r>
      <w:r w:rsidR="00B32DE0" w:rsidRPr="006B31F8">
        <w:rPr>
          <w:rFonts w:cstheme="minorHAnsi"/>
          <w:sz w:val="22"/>
          <w:szCs w:val="22"/>
          <w:lang w:val="en-GB"/>
        </w:rPr>
        <w:t>V</w:t>
      </w:r>
      <w:r w:rsidRPr="006B31F8">
        <w:rPr>
          <w:rFonts w:cstheme="minorHAnsi"/>
          <w:sz w:val="22"/>
          <w:szCs w:val="22"/>
          <w:lang w:val="en-GB"/>
        </w:rPr>
        <w:t>. Woodside &amp; Gerald Mckenna (2019): The impact of oral rehabilitation coupled with healthy</w:t>
      </w:r>
      <w:r w:rsidR="00B32DE0" w:rsidRPr="006B31F8">
        <w:rPr>
          <w:rFonts w:cstheme="minorHAnsi"/>
          <w:sz w:val="22"/>
          <w:szCs w:val="22"/>
          <w:lang w:val="en-GB"/>
        </w:rPr>
        <w:t xml:space="preserve"> </w:t>
      </w:r>
      <w:r w:rsidRPr="006B31F8">
        <w:rPr>
          <w:rFonts w:cstheme="minorHAnsi"/>
          <w:sz w:val="22"/>
          <w:szCs w:val="22"/>
          <w:lang w:val="en-GB"/>
        </w:rPr>
        <w:t>dietary advice on the nutritional status of adults: A systematic review and meta-analysis, Critical</w:t>
      </w:r>
      <w:r w:rsidR="00B32DE0" w:rsidRPr="006B31F8">
        <w:rPr>
          <w:rFonts w:cstheme="minorHAnsi"/>
          <w:sz w:val="22"/>
          <w:szCs w:val="22"/>
          <w:lang w:val="en-GB"/>
        </w:rPr>
        <w:t xml:space="preserve"> </w:t>
      </w:r>
      <w:r w:rsidRPr="006B31F8">
        <w:rPr>
          <w:rFonts w:cstheme="minorHAnsi"/>
          <w:sz w:val="22"/>
          <w:szCs w:val="22"/>
          <w:lang w:val="en-GB"/>
        </w:rPr>
        <w:t>Reviews in Food Science and Nutrition, DOI: 10.1080/10408398.2019.1630600</w:t>
      </w:r>
    </w:p>
    <w:p w14:paraId="08A9F0B1" w14:textId="409236FE" w:rsidR="00B32DE0" w:rsidRPr="006B31F8" w:rsidRDefault="00CA5D07" w:rsidP="006B31F8">
      <w:pPr>
        <w:autoSpaceDE w:val="0"/>
        <w:autoSpaceDN w:val="0"/>
        <w:adjustRightInd w:val="0"/>
        <w:ind w:left="142" w:hanging="142"/>
        <w:jc w:val="both"/>
        <w:rPr>
          <w:rFonts w:cstheme="minorHAnsi"/>
          <w:sz w:val="22"/>
          <w:szCs w:val="22"/>
          <w:lang w:val="en-GB"/>
        </w:rPr>
      </w:pPr>
      <w:r w:rsidRPr="006B31F8">
        <w:rPr>
          <w:rFonts w:cstheme="minorHAnsi"/>
          <w:sz w:val="22"/>
          <w:szCs w:val="22"/>
          <w:lang w:val="en-GB"/>
        </w:rPr>
        <w:t>Mendonça N, Granic A, Mathers J C, Hill T R, Siervo M, Adamson A J, Jagger C. Prevalence and determinants of low protein intake in very old adults: insights from the Newcastle 85+ Study. Eur J Nutr (2018) 57:2713–2722https://doi.org/10.1007/s00394-017-1537-5</w:t>
      </w:r>
    </w:p>
    <w:p w14:paraId="771FF3FA" w14:textId="44548351" w:rsidR="00B32DE0" w:rsidRPr="006B31F8" w:rsidRDefault="00C51F08" w:rsidP="006B31F8">
      <w:pPr>
        <w:ind w:left="142" w:hanging="142"/>
        <w:jc w:val="both"/>
        <w:rPr>
          <w:rFonts w:cstheme="minorHAnsi"/>
          <w:sz w:val="22"/>
          <w:szCs w:val="22"/>
        </w:rPr>
      </w:pPr>
      <w:r w:rsidRPr="006B31F8">
        <w:rPr>
          <w:rFonts w:cstheme="minorHAnsi"/>
          <w:sz w:val="22"/>
          <w:szCs w:val="22"/>
        </w:rPr>
        <w:t xml:space="preserve">Moynihan P J, Butler T J, Thomason J M, and Jepson N J A (2000).  Nutrient intake in partially dentate patients: the effect of prosthetic rehabilitation.  </w:t>
      </w:r>
      <w:r w:rsidRPr="006B31F8">
        <w:rPr>
          <w:rFonts w:cstheme="minorHAnsi"/>
          <w:i/>
          <w:sz w:val="22"/>
          <w:szCs w:val="22"/>
        </w:rPr>
        <w:t>Journal of Dentistry</w:t>
      </w:r>
      <w:r w:rsidRPr="006B31F8">
        <w:rPr>
          <w:rFonts w:cstheme="minorHAnsi"/>
          <w:sz w:val="22"/>
          <w:szCs w:val="22"/>
        </w:rPr>
        <w:t xml:space="preserve"> </w:t>
      </w:r>
      <w:r w:rsidRPr="006B31F8">
        <w:rPr>
          <w:rFonts w:cstheme="minorHAnsi"/>
          <w:bCs/>
          <w:sz w:val="22"/>
          <w:szCs w:val="22"/>
        </w:rPr>
        <w:t>28</w:t>
      </w:r>
      <w:r w:rsidRPr="006B31F8">
        <w:rPr>
          <w:rFonts w:cstheme="minorHAnsi"/>
          <w:sz w:val="22"/>
          <w:szCs w:val="22"/>
        </w:rPr>
        <w:t>, 557-563</w:t>
      </w:r>
    </w:p>
    <w:p w14:paraId="61BB49B1" w14:textId="793E9A7B" w:rsidR="00B32DE0" w:rsidRPr="006B31F8" w:rsidRDefault="00C51F08" w:rsidP="006B31F8">
      <w:pPr>
        <w:tabs>
          <w:tab w:val="left" w:pos="720"/>
        </w:tabs>
        <w:autoSpaceDE w:val="0"/>
        <w:autoSpaceDN w:val="0"/>
        <w:adjustRightInd w:val="0"/>
        <w:ind w:left="142" w:hanging="142"/>
        <w:jc w:val="both"/>
        <w:rPr>
          <w:rFonts w:cstheme="minorHAnsi"/>
          <w:sz w:val="22"/>
          <w:szCs w:val="22"/>
        </w:rPr>
      </w:pPr>
      <w:r w:rsidRPr="006B31F8">
        <w:rPr>
          <w:rFonts w:eastAsia="SimSun" w:cstheme="minorHAnsi"/>
          <w:sz w:val="22"/>
          <w:szCs w:val="22"/>
          <w:lang w:eastAsia="en-GB"/>
        </w:rPr>
        <w:t>Moynihan P, Elfeky A, Ellis J, Seal C, Hyland R, Thomason JM (2012). Do implant supported dentures facilitate efficacy of eating more healthily? Journal of Dentistry, 40, 843-850.</w:t>
      </w:r>
    </w:p>
    <w:p w14:paraId="7E9D615E" w14:textId="71B95BA3" w:rsidR="00B50EC3" w:rsidRPr="006B31F8" w:rsidRDefault="00B50EC3" w:rsidP="006B31F8">
      <w:pPr>
        <w:ind w:left="142" w:hanging="142"/>
        <w:rPr>
          <w:rFonts w:cstheme="minorHAnsi"/>
          <w:sz w:val="22"/>
          <w:szCs w:val="22"/>
        </w:rPr>
      </w:pPr>
      <w:r w:rsidRPr="006B31F8">
        <w:rPr>
          <w:rFonts w:eastAsia="SimSun" w:cstheme="minorHAnsi"/>
          <w:sz w:val="22"/>
          <w:szCs w:val="22"/>
          <w:lang w:eastAsia="en-GB"/>
        </w:rPr>
        <w:t xml:space="preserve">Moynihan P, Varghese R et al 2020. </w:t>
      </w:r>
      <w:r w:rsidRPr="006B31F8">
        <w:rPr>
          <w:rFonts w:cstheme="minorHAnsi"/>
          <w:sz w:val="22"/>
          <w:szCs w:val="22"/>
        </w:rPr>
        <w:t>Impact of wearing dentures on dietary intake, nutritional status and eating: A systematic review (forthcoming)</w:t>
      </w:r>
    </w:p>
    <w:p w14:paraId="4AE46CFB" w14:textId="6EFD7F43" w:rsidR="00B32DE0" w:rsidRPr="006B31F8" w:rsidRDefault="004372A3" w:rsidP="006B31F8">
      <w:pPr>
        <w:tabs>
          <w:tab w:val="left" w:pos="720"/>
        </w:tabs>
        <w:autoSpaceDE w:val="0"/>
        <w:autoSpaceDN w:val="0"/>
        <w:adjustRightInd w:val="0"/>
        <w:ind w:left="142" w:hanging="142"/>
        <w:jc w:val="both"/>
        <w:rPr>
          <w:rFonts w:cstheme="minorHAnsi"/>
          <w:sz w:val="22"/>
          <w:szCs w:val="22"/>
        </w:rPr>
      </w:pPr>
      <w:r w:rsidRPr="006B31F8">
        <w:rPr>
          <w:rFonts w:eastAsia="SimSun" w:cstheme="minorHAnsi"/>
          <w:sz w:val="22"/>
          <w:szCs w:val="22"/>
          <w:lang w:eastAsia="en-GB"/>
        </w:rPr>
        <w:t>Nabashima G, FuekiK, IUbanmochi Y, Wajkabayashi N. 2018. Effect of dietary counselling with prosthetic restoration on fruit and vegetable intake in partially dentate patients: a prospective study. J Oral Rehab 45(8): 618-626.</w:t>
      </w:r>
    </w:p>
    <w:p w14:paraId="2B052EDA" w14:textId="35073A1E" w:rsidR="00EB138B" w:rsidRPr="006B31F8" w:rsidRDefault="00EB138B" w:rsidP="006B31F8">
      <w:pPr>
        <w:autoSpaceDE w:val="0"/>
        <w:autoSpaceDN w:val="0"/>
        <w:adjustRightInd w:val="0"/>
        <w:ind w:left="142" w:hanging="142"/>
        <w:rPr>
          <w:rFonts w:cstheme="minorHAnsi"/>
          <w:color w:val="131413"/>
          <w:sz w:val="22"/>
          <w:szCs w:val="22"/>
          <w:lang w:val="en-GB"/>
        </w:rPr>
      </w:pPr>
      <w:r w:rsidRPr="006B31F8">
        <w:rPr>
          <w:rFonts w:cstheme="minorHAnsi"/>
          <w:color w:val="131413"/>
          <w:sz w:val="22"/>
          <w:szCs w:val="22"/>
          <w:lang w:val="en-GB"/>
        </w:rPr>
        <w:t xml:space="preserve">Nakamura M, Ojima T, Nagahata T, Kondo I, Ninomiya T, Yoshita K, Ara Y, Ohkubo T, MurakamI K, Nishi N, Murakami Y, Takashima </w:t>
      </w:r>
      <w:r w:rsidR="006403E5" w:rsidRPr="006B31F8">
        <w:rPr>
          <w:rFonts w:cstheme="minorHAnsi"/>
          <w:color w:val="131413"/>
          <w:sz w:val="22"/>
          <w:szCs w:val="22"/>
          <w:lang w:val="en-GB"/>
        </w:rPr>
        <w:t>N, Okuda</w:t>
      </w:r>
      <w:r w:rsidRPr="006B31F8">
        <w:rPr>
          <w:rFonts w:cstheme="minorHAnsi"/>
          <w:color w:val="131413"/>
          <w:sz w:val="22"/>
          <w:szCs w:val="22"/>
          <w:lang w:val="en-GB"/>
        </w:rPr>
        <w:t xml:space="preserve"> N, Kadota A, </w:t>
      </w:r>
    </w:p>
    <w:p w14:paraId="44D72D28" w14:textId="0E0821B5" w:rsidR="00B50EC3" w:rsidRPr="006B31F8" w:rsidRDefault="00EB138B" w:rsidP="006B31F8">
      <w:pPr>
        <w:autoSpaceDE w:val="0"/>
        <w:autoSpaceDN w:val="0"/>
        <w:adjustRightInd w:val="0"/>
        <w:ind w:left="142" w:hanging="142"/>
        <w:rPr>
          <w:rFonts w:cstheme="minorHAnsi"/>
          <w:color w:val="131413"/>
          <w:sz w:val="22"/>
          <w:szCs w:val="22"/>
          <w:lang w:val="en-GB"/>
        </w:rPr>
      </w:pPr>
      <w:r w:rsidRPr="006B31F8">
        <w:rPr>
          <w:rFonts w:cstheme="minorHAnsi"/>
          <w:color w:val="131413"/>
          <w:sz w:val="22"/>
          <w:szCs w:val="22"/>
          <w:lang w:val="en-GB"/>
        </w:rPr>
        <w:lastRenderedPageBreak/>
        <w:t>Miyagawa N, Kondo K, Okamura T, Ueshima H, Okayama A, Miura K (2019). Having few remaining teeth is associated with a low nutrient intake and low serum albumin levels in middle-aged and older Japanese individuals: findings from the NIPPON DATA2010 Environmental Health and Preventive Medicine 24:1. https://doi.org/10.1186/s12199-018-0752-x</w:t>
      </w:r>
    </w:p>
    <w:p w14:paraId="2BE3CA29" w14:textId="6901D3AD" w:rsidR="00EB138B" w:rsidRPr="006B31F8" w:rsidRDefault="00EB138B" w:rsidP="006B31F8">
      <w:pPr>
        <w:ind w:left="142" w:hanging="142"/>
        <w:jc w:val="both"/>
        <w:rPr>
          <w:rFonts w:cstheme="minorHAnsi"/>
          <w:sz w:val="22"/>
          <w:szCs w:val="22"/>
        </w:rPr>
      </w:pPr>
      <w:r w:rsidRPr="006B31F8">
        <w:rPr>
          <w:rFonts w:cstheme="minorHAnsi"/>
          <w:sz w:val="22"/>
          <w:szCs w:val="22"/>
        </w:rPr>
        <w:t>Ritchie C S, 1 Joshipura K, Silliman R A, Miller B, Douglas C W. Oral Health Problems and Significant Weight Loss Among Community-Dwelling Older Adults. Journal of Gerontology 2000; 55A (7) M366–M371.</w:t>
      </w:r>
    </w:p>
    <w:p w14:paraId="1AC49DB6" w14:textId="4DC76055" w:rsidR="00EB138B" w:rsidRPr="004D1B09" w:rsidRDefault="00EB138B" w:rsidP="006B31F8">
      <w:pPr>
        <w:ind w:left="142" w:hanging="142"/>
      </w:pPr>
      <w:r w:rsidRPr="006B31F8">
        <w:rPr>
          <w:rFonts w:cstheme="minorHAnsi"/>
          <w:sz w:val="22"/>
          <w:szCs w:val="22"/>
        </w:rPr>
        <w:t xml:space="preserve">Tsakos G, Herrick K, Sheiham A, Watt RG (2010) Edentulism and fruit and vegetable intake in </w:t>
      </w:r>
      <w:r w:rsidR="006403E5" w:rsidRPr="006B31F8">
        <w:rPr>
          <w:rFonts w:cstheme="minorHAnsi"/>
          <w:sz w:val="22"/>
          <w:szCs w:val="22"/>
        </w:rPr>
        <w:t>low-income</w:t>
      </w:r>
      <w:r w:rsidRPr="006B31F8">
        <w:rPr>
          <w:rFonts w:cstheme="minorHAnsi"/>
          <w:sz w:val="22"/>
          <w:szCs w:val="22"/>
        </w:rPr>
        <w:t xml:space="preserve"> adults. Journal of Dental Research 89 (5): </w:t>
      </w:r>
      <w:hyperlink r:id="rId14" w:history="1">
        <w:r w:rsidR="006403E5" w:rsidRPr="004433DB">
          <w:rPr>
            <w:rStyle w:val="Hyperlink"/>
            <w:sz w:val="22"/>
            <w:szCs w:val="22"/>
          </w:rPr>
          <w:t>http://dx.doi.org/10.1177/0022034510363247</w:t>
        </w:r>
      </w:hyperlink>
    </w:p>
    <w:p w14:paraId="2267041D" w14:textId="5CCF60E2" w:rsidR="00EB521B" w:rsidRPr="00B32DE0" w:rsidRDefault="00EB521B" w:rsidP="00EB138B">
      <w:pPr>
        <w:jc w:val="both"/>
        <w:rPr>
          <w:rFonts w:cstheme="minorHAnsi"/>
        </w:rPr>
      </w:pPr>
    </w:p>
    <w:sectPr w:rsidR="00EB521B" w:rsidRPr="00B32DE0" w:rsidSect="008A6350">
      <w:footerReference w:type="even" r:id="rId15"/>
      <w:footerReference w:type="default" r:id="rId16"/>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9F5C" w16cex:dateUtc="2020-11-24T04:33:00Z"/>
  <w16cex:commentExtensible w16cex:durableId="2367A12C" w16cex:dateUtc="2020-11-24T04:41:00Z"/>
  <w16cex:commentExtensible w16cex:durableId="236622FE" w16cex:dateUtc="2020-11-23T01:31:00Z"/>
  <w16cex:commentExtensible w16cex:durableId="2367A1EF" w16cex:dateUtc="2020-11-24T04:44:00Z"/>
  <w16cex:commentExtensible w16cex:durableId="23662170" w16cex:dateUtc="2020-11-23T01:24:00Z"/>
  <w16cex:commentExtensible w16cex:durableId="2367A292" w16cex:dateUtc="2020-11-24T04:47:00Z"/>
  <w16cex:commentExtensible w16cex:durableId="236621CD" w16cex:dateUtc="2020-11-23T01:25:00Z"/>
  <w16cex:commentExtensible w16cex:durableId="23662203" w16cex:dateUtc="2020-11-23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9018C0" w16cid:durableId="23679F5C"/>
  <w16cid:commentId w16cid:paraId="399C3679" w16cid:durableId="2367A12C"/>
  <w16cid:commentId w16cid:paraId="63289C09" w16cid:durableId="236622FE"/>
  <w16cid:commentId w16cid:paraId="5FC91C61" w16cid:durableId="2367A1EF"/>
  <w16cid:commentId w16cid:paraId="1198DA8E" w16cid:durableId="23662170"/>
  <w16cid:commentId w16cid:paraId="204B44E6" w16cid:durableId="2367A292"/>
  <w16cid:commentId w16cid:paraId="7DB039A1" w16cid:durableId="236621CD"/>
  <w16cid:commentId w16cid:paraId="2AF24CF1" w16cid:durableId="23674F21"/>
  <w16cid:commentId w16cid:paraId="10CB7D68" w16cid:durableId="23662203"/>
  <w16cid:commentId w16cid:paraId="43DDDB4E" w16cid:durableId="23674A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450C1" w14:textId="77777777" w:rsidR="0058371B" w:rsidRDefault="0058371B" w:rsidP="00110F63">
      <w:r>
        <w:separator/>
      </w:r>
    </w:p>
  </w:endnote>
  <w:endnote w:type="continuationSeparator" w:id="0">
    <w:p w14:paraId="4DB804A9" w14:textId="77777777" w:rsidR="0058371B" w:rsidRDefault="0058371B" w:rsidP="00110F63">
      <w:r>
        <w:continuationSeparator/>
      </w:r>
    </w:p>
  </w:endnote>
  <w:endnote w:type="continuationNotice" w:id="1">
    <w:p w14:paraId="021C496D" w14:textId="77777777" w:rsidR="0058371B" w:rsidRDefault="00583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8604951"/>
      <w:docPartObj>
        <w:docPartGallery w:val="Page Numbers (Bottom of Page)"/>
        <w:docPartUnique/>
      </w:docPartObj>
    </w:sdtPr>
    <w:sdtEndPr>
      <w:rPr>
        <w:rStyle w:val="PageNumber"/>
      </w:rPr>
    </w:sdtEndPr>
    <w:sdtContent>
      <w:p w14:paraId="055EBE13" w14:textId="369125B8" w:rsidR="00110F63" w:rsidRDefault="00110F63" w:rsidP="00C767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B1969">
          <w:rPr>
            <w:rStyle w:val="PageNumber"/>
            <w:noProof/>
          </w:rPr>
          <w:t>1</w:t>
        </w:r>
        <w:r>
          <w:rPr>
            <w:rStyle w:val="PageNumber"/>
          </w:rPr>
          <w:fldChar w:fldCharType="end"/>
        </w:r>
      </w:p>
    </w:sdtContent>
  </w:sdt>
  <w:p w14:paraId="0C571F77" w14:textId="77777777" w:rsidR="00110F63" w:rsidRDefault="00110F63" w:rsidP="00110F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1897224"/>
      <w:docPartObj>
        <w:docPartGallery w:val="Page Numbers (Bottom of Page)"/>
        <w:docPartUnique/>
      </w:docPartObj>
    </w:sdtPr>
    <w:sdtEndPr>
      <w:rPr>
        <w:rStyle w:val="PageNumber"/>
      </w:rPr>
    </w:sdtEndPr>
    <w:sdtContent>
      <w:p w14:paraId="07DA6E40" w14:textId="7C49148B" w:rsidR="00110F63" w:rsidRDefault="00110F63" w:rsidP="00C767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7480">
          <w:rPr>
            <w:rStyle w:val="PageNumber"/>
            <w:noProof/>
          </w:rPr>
          <w:t>1</w:t>
        </w:r>
        <w:r>
          <w:rPr>
            <w:rStyle w:val="PageNumber"/>
          </w:rPr>
          <w:fldChar w:fldCharType="end"/>
        </w:r>
      </w:p>
    </w:sdtContent>
  </w:sdt>
  <w:p w14:paraId="0798B167" w14:textId="77777777" w:rsidR="00110F63" w:rsidRDefault="00110F63" w:rsidP="00110F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C06A2" w14:textId="77777777" w:rsidR="0058371B" w:rsidRDefault="0058371B" w:rsidP="00110F63">
      <w:r>
        <w:separator/>
      </w:r>
    </w:p>
  </w:footnote>
  <w:footnote w:type="continuationSeparator" w:id="0">
    <w:p w14:paraId="0F686DB8" w14:textId="77777777" w:rsidR="0058371B" w:rsidRDefault="0058371B" w:rsidP="00110F63">
      <w:r>
        <w:continuationSeparator/>
      </w:r>
    </w:p>
  </w:footnote>
  <w:footnote w:type="continuationNotice" w:id="1">
    <w:p w14:paraId="7647AD76" w14:textId="77777777" w:rsidR="0058371B" w:rsidRDefault="005837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7E1A"/>
    <w:multiLevelType w:val="hybridMultilevel"/>
    <w:tmpl w:val="D8B8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259A6"/>
    <w:multiLevelType w:val="hybridMultilevel"/>
    <w:tmpl w:val="370889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16F6E"/>
    <w:multiLevelType w:val="hybridMultilevel"/>
    <w:tmpl w:val="1EC6D616"/>
    <w:lvl w:ilvl="0" w:tplc="08090001">
      <w:start w:val="1"/>
      <w:numFmt w:val="bullet"/>
      <w:lvlText w:val=""/>
      <w:lvlJc w:val="left"/>
      <w:pPr>
        <w:ind w:left="720" w:hanging="360"/>
      </w:pPr>
      <w:rPr>
        <w:rFonts w:ascii="Symbol" w:hAnsi="Symbol" w:hint="default"/>
      </w:rPr>
    </w:lvl>
    <w:lvl w:ilvl="1" w:tplc="E642FE7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32DFA"/>
    <w:multiLevelType w:val="hybridMultilevel"/>
    <w:tmpl w:val="3104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85FDD"/>
    <w:multiLevelType w:val="hybridMultilevel"/>
    <w:tmpl w:val="C5247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C536D3"/>
    <w:multiLevelType w:val="hybridMultilevel"/>
    <w:tmpl w:val="031C8506"/>
    <w:lvl w:ilvl="0" w:tplc="E5A22C2C">
      <w:start w:val="4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4670E"/>
    <w:multiLevelType w:val="hybridMultilevel"/>
    <w:tmpl w:val="BCD00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E2822"/>
    <w:multiLevelType w:val="hybridMultilevel"/>
    <w:tmpl w:val="615C9A64"/>
    <w:lvl w:ilvl="0" w:tplc="E5A22C2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A12481"/>
    <w:multiLevelType w:val="hybridMultilevel"/>
    <w:tmpl w:val="8118030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5B23B0"/>
    <w:multiLevelType w:val="hybridMultilevel"/>
    <w:tmpl w:val="A2344768"/>
    <w:lvl w:ilvl="0" w:tplc="E642FE7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A7340"/>
    <w:multiLevelType w:val="multilevel"/>
    <w:tmpl w:val="49E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6A58BA"/>
    <w:multiLevelType w:val="hybridMultilevel"/>
    <w:tmpl w:val="20D4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7"/>
  </w:num>
  <w:num w:numId="6">
    <w:abstractNumId w:val="5"/>
  </w:num>
  <w:num w:numId="7">
    <w:abstractNumId w:val="10"/>
  </w:num>
  <w:num w:numId="8">
    <w:abstractNumId w:val="4"/>
  </w:num>
  <w:num w:numId="9">
    <w:abstractNumId w:val="6"/>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2NDI3MjM2tLAwNDdX0lEKTi0uzszPAykwrgUAFopPOSwAAAA="/>
  </w:docVars>
  <w:rsids>
    <w:rsidRoot w:val="006F306A"/>
    <w:rsid w:val="000105CD"/>
    <w:rsid w:val="00015A13"/>
    <w:rsid w:val="00033057"/>
    <w:rsid w:val="00052928"/>
    <w:rsid w:val="00057342"/>
    <w:rsid w:val="00097025"/>
    <w:rsid w:val="000B0384"/>
    <w:rsid w:val="000C33AE"/>
    <w:rsid w:val="000C5FAC"/>
    <w:rsid w:val="000E6042"/>
    <w:rsid w:val="000F5117"/>
    <w:rsid w:val="00102DC3"/>
    <w:rsid w:val="00107F85"/>
    <w:rsid w:val="00110F63"/>
    <w:rsid w:val="00113963"/>
    <w:rsid w:val="00122A62"/>
    <w:rsid w:val="00133BF3"/>
    <w:rsid w:val="00143D86"/>
    <w:rsid w:val="001478AE"/>
    <w:rsid w:val="00170FD4"/>
    <w:rsid w:val="00174A64"/>
    <w:rsid w:val="00180AE2"/>
    <w:rsid w:val="00182CF4"/>
    <w:rsid w:val="001B03F1"/>
    <w:rsid w:val="001B12CD"/>
    <w:rsid w:val="001C46A0"/>
    <w:rsid w:val="001D202D"/>
    <w:rsid w:val="001D3E69"/>
    <w:rsid w:val="001D428F"/>
    <w:rsid w:val="001E44C1"/>
    <w:rsid w:val="001E5A8A"/>
    <w:rsid w:val="001F03C4"/>
    <w:rsid w:val="001F5BCD"/>
    <w:rsid w:val="001F69C8"/>
    <w:rsid w:val="00232B2C"/>
    <w:rsid w:val="002419D8"/>
    <w:rsid w:val="0025511A"/>
    <w:rsid w:val="0027106A"/>
    <w:rsid w:val="00274EAC"/>
    <w:rsid w:val="0029072F"/>
    <w:rsid w:val="00295A6F"/>
    <w:rsid w:val="002B371B"/>
    <w:rsid w:val="002B4785"/>
    <w:rsid w:val="002B6DCC"/>
    <w:rsid w:val="002C06E6"/>
    <w:rsid w:val="002C2EA8"/>
    <w:rsid w:val="002E009C"/>
    <w:rsid w:val="003206E5"/>
    <w:rsid w:val="003209B6"/>
    <w:rsid w:val="0033002E"/>
    <w:rsid w:val="00335844"/>
    <w:rsid w:val="00343B91"/>
    <w:rsid w:val="0036369B"/>
    <w:rsid w:val="00391D8F"/>
    <w:rsid w:val="00393626"/>
    <w:rsid w:val="003946FD"/>
    <w:rsid w:val="003A316E"/>
    <w:rsid w:val="003C4EDB"/>
    <w:rsid w:val="003E4F6D"/>
    <w:rsid w:val="00412B52"/>
    <w:rsid w:val="00416590"/>
    <w:rsid w:val="0042257A"/>
    <w:rsid w:val="00423788"/>
    <w:rsid w:val="00436F22"/>
    <w:rsid w:val="004372A3"/>
    <w:rsid w:val="004518C1"/>
    <w:rsid w:val="00465620"/>
    <w:rsid w:val="00486B52"/>
    <w:rsid w:val="00487C2A"/>
    <w:rsid w:val="00492F5E"/>
    <w:rsid w:val="004A0604"/>
    <w:rsid w:val="004A24F0"/>
    <w:rsid w:val="004A2C58"/>
    <w:rsid w:val="004A6F31"/>
    <w:rsid w:val="004B09BD"/>
    <w:rsid w:val="004B412A"/>
    <w:rsid w:val="004C4383"/>
    <w:rsid w:val="004C52F0"/>
    <w:rsid w:val="0050690C"/>
    <w:rsid w:val="00541357"/>
    <w:rsid w:val="00544F28"/>
    <w:rsid w:val="005517DB"/>
    <w:rsid w:val="005809BE"/>
    <w:rsid w:val="0058371B"/>
    <w:rsid w:val="005A0C1F"/>
    <w:rsid w:val="005D3476"/>
    <w:rsid w:val="005F28B6"/>
    <w:rsid w:val="005F3816"/>
    <w:rsid w:val="005F487A"/>
    <w:rsid w:val="005F5123"/>
    <w:rsid w:val="00605E1A"/>
    <w:rsid w:val="00615264"/>
    <w:rsid w:val="00617DF6"/>
    <w:rsid w:val="00623C06"/>
    <w:rsid w:val="00631BCF"/>
    <w:rsid w:val="0063549E"/>
    <w:rsid w:val="006403E5"/>
    <w:rsid w:val="00651A5C"/>
    <w:rsid w:val="0069003D"/>
    <w:rsid w:val="006B31F8"/>
    <w:rsid w:val="006B467C"/>
    <w:rsid w:val="006E0B57"/>
    <w:rsid w:val="006E2244"/>
    <w:rsid w:val="006E27E9"/>
    <w:rsid w:val="006E422C"/>
    <w:rsid w:val="006F306A"/>
    <w:rsid w:val="00714521"/>
    <w:rsid w:val="00720537"/>
    <w:rsid w:val="00725F11"/>
    <w:rsid w:val="00726EA1"/>
    <w:rsid w:val="00737F87"/>
    <w:rsid w:val="00741358"/>
    <w:rsid w:val="007535EE"/>
    <w:rsid w:val="00755B09"/>
    <w:rsid w:val="0078638D"/>
    <w:rsid w:val="00791D83"/>
    <w:rsid w:val="00792DA5"/>
    <w:rsid w:val="007A32BC"/>
    <w:rsid w:val="007C316D"/>
    <w:rsid w:val="007C46D5"/>
    <w:rsid w:val="007D6F29"/>
    <w:rsid w:val="007D75CC"/>
    <w:rsid w:val="007E27A5"/>
    <w:rsid w:val="007F16D4"/>
    <w:rsid w:val="007F41A2"/>
    <w:rsid w:val="007F60DB"/>
    <w:rsid w:val="00806712"/>
    <w:rsid w:val="00821C07"/>
    <w:rsid w:val="00832919"/>
    <w:rsid w:val="00833AAD"/>
    <w:rsid w:val="00836B45"/>
    <w:rsid w:val="008575CD"/>
    <w:rsid w:val="0087038F"/>
    <w:rsid w:val="0088306E"/>
    <w:rsid w:val="00883527"/>
    <w:rsid w:val="00895DCE"/>
    <w:rsid w:val="0089758A"/>
    <w:rsid w:val="008A6350"/>
    <w:rsid w:val="008C4223"/>
    <w:rsid w:val="008D6DE8"/>
    <w:rsid w:val="00906D74"/>
    <w:rsid w:val="0090701B"/>
    <w:rsid w:val="0091001E"/>
    <w:rsid w:val="00916668"/>
    <w:rsid w:val="009250AF"/>
    <w:rsid w:val="009261C8"/>
    <w:rsid w:val="00926F8D"/>
    <w:rsid w:val="0093493A"/>
    <w:rsid w:val="009512A1"/>
    <w:rsid w:val="00956046"/>
    <w:rsid w:val="009700CA"/>
    <w:rsid w:val="00970218"/>
    <w:rsid w:val="00977D4B"/>
    <w:rsid w:val="00977F81"/>
    <w:rsid w:val="00991442"/>
    <w:rsid w:val="00997051"/>
    <w:rsid w:val="009A1285"/>
    <w:rsid w:val="009A337F"/>
    <w:rsid w:val="009C48AE"/>
    <w:rsid w:val="009D6E8F"/>
    <w:rsid w:val="009F1449"/>
    <w:rsid w:val="009F328F"/>
    <w:rsid w:val="00A124F7"/>
    <w:rsid w:val="00A128D2"/>
    <w:rsid w:val="00A12D15"/>
    <w:rsid w:val="00A13E03"/>
    <w:rsid w:val="00A20A6C"/>
    <w:rsid w:val="00A21EF8"/>
    <w:rsid w:val="00A6072A"/>
    <w:rsid w:val="00A74C6E"/>
    <w:rsid w:val="00A96FA9"/>
    <w:rsid w:val="00AA1C03"/>
    <w:rsid w:val="00AB1138"/>
    <w:rsid w:val="00AB1969"/>
    <w:rsid w:val="00AB75D4"/>
    <w:rsid w:val="00AB7887"/>
    <w:rsid w:val="00AC784A"/>
    <w:rsid w:val="00AD11C4"/>
    <w:rsid w:val="00AD442C"/>
    <w:rsid w:val="00AD65B7"/>
    <w:rsid w:val="00AD7778"/>
    <w:rsid w:val="00AE0788"/>
    <w:rsid w:val="00AF5660"/>
    <w:rsid w:val="00AF7480"/>
    <w:rsid w:val="00B22473"/>
    <w:rsid w:val="00B32DE0"/>
    <w:rsid w:val="00B44397"/>
    <w:rsid w:val="00B50EC3"/>
    <w:rsid w:val="00B529C1"/>
    <w:rsid w:val="00B5606C"/>
    <w:rsid w:val="00B565F6"/>
    <w:rsid w:val="00B60D1A"/>
    <w:rsid w:val="00B73776"/>
    <w:rsid w:val="00B94D77"/>
    <w:rsid w:val="00B9599D"/>
    <w:rsid w:val="00BA1B9B"/>
    <w:rsid w:val="00BA1E33"/>
    <w:rsid w:val="00BA72B7"/>
    <w:rsid w:val="00BC4FB3"/>
    <w:rsid w:val="00C0018F"/>
    <w:rsid w:val="00C00639"/>
    <w:rsid w:val="00C22E0C"/>
    <w:rsid w:val="00C36C96"/>
    <w:rsid w:val="00C430B7"/>
    <w:rsid w:val="00C45885"/>
    <w:rsid w:val="00C51F08"/>
    <w:rsid w:val="00C56050"/>
    <w:rsid w:val="00C63291"/>
    <w:rsid w:val="00C73A92"/>
    <w:rsid w:val="00C767BC"/>
    <w:rsid w:val="00C86C0B"/>
    <w:rsid w:val="00CA0CD4"/>
    <w:rsid w:val="00CA5D07"/>
    <w:rsid w:val="00CB44CF"/>
    <w:rsid w:val="00CD28F8"/>
    <w:rsid w:val="00CF3448"/>
    <w:rsid w:val="00CF5CDF"/>
    <w:rsid w:val="00D253A7"/>
    <w:rsid w:val="00D30818"/>
    <w:rsid w:val="00D427B2"/>
    <w:rsid w:val="00D62351"/>
    <w:rsid w:val="00D62E53"/>
    <w:rsid w:val="00D90D4E"/>
    <w:rsid w:val="00D973FB"/>
    <w:rsid w:val="00DB1E8F"/>
    <w:rsid w:val="00DB29CA"/>
    <w:rsid w:val="00DB30AD"/>
    <w:rsid w:val="00DB59C2"/>
    <w:rsid w:val="00DB669D"/>
    <w:rsid w:val="00DC3A2F"/>
    <w:rsid w:val="00DF0DA5"/>
    <w:rsid w:val="00DF20CE"/>
    <w:rsid w:val="00DF4864"/>
    <w:rsid w:val="00E01F4C"/>
    <w:rsid w:val="00E07409"/>
    <w:rsid w:val="00E07462"/>
    <w:rsid w:val="00E30FA8"/>
    <w:rsid w:val="00E31718"/>
    <w:rsid w:val="00E45B2F"/>
    <w:rsid w:val="00E47F25"/>
    <w:rsid w:val="00E54096"/>
    <w:rsid w:val="00E61A6E"/>
    <w:rsid w:val="00E74A64"/>
    <w:rsid w:val="00E90AD8"/>
    <w:rsid w:val="00EA1AB9"/>
    <w:rsid w:val="00EA3EB4"/>
    <w:rsid w:val="00EB138B"/>
    <w:rsid w:val="00EB521B"/>
    <w:rsid w:val="00EB7179"/>
    <w:rsid w:val="00EC3758"/>
    <w:rsid w:val="00ED063D"/>
    <w:rsid w:val="00EE0078"/>
    <w:rsid w:val="00EF0C2B"/>
    <w:rsid w:val="00F05D5A"/>
    <w:rsid w:val="00F45B17"/>
    <w:rsid w:val="00F71217"/>
    <w:rsid w:val="00F738CC"/>
    <w:rsid w:val="00F8227F"/>
    <w:rsid w:val="00F9112E"/>
    <w:rsid w:val="00F93977"/>
    <w:rsid w:val="00FA2EDB"/>
    <w:rsid w:val="00FB4116"/>
    <w:rsid w:val="00FC614F"/>
    <w:rsid w:val="00FD3D08"/>
    <w:rsid w:val="00FD7BB8"/>
    <w:rsid w:val="7B79A70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5C552"/>
  <w15:docId w15:val="{F496BBD5-803D-4361-BE39-A30BBE16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27B2"/>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5F51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69B"/>
    <w:pPr>
      <w:ind w:left="720"/>
      <w:contextualSpacing/>
    </w:pPr>
  </w:style>
  <w:style w:type="paragraph" w:styleId="BalloonText">
    <w:name w:val="Balloon Text"/>
    <w:basedOn w:val="Normal"/>
    <w:link w:val="BalloonTextChar"/>
    <w:uiPriority w:val="99"/>
    <w:semiHidden/>
    <w:unhideWhenUsed/>
    <w:rsid w:val="000C5F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FA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01F4C"/>
    <w:rPr>
      <w:sz w:val="16"/>
      <w:szCs w:val="16"/>
    </w:rPr>
  </w:style>
  <w:style w:type="paragraph" w:styleId="CommentText">
    <w:name w:val="annotation text"/>
    <w:basedOn w:val="Normal"/>
    <w:link w:val="CommentTextChar"/>
    <w:uiPriority w:val="99"/>
    <w:unhideWhenUsed/>
    <w:rsid w:val="00E01F4C"/>
    <w:rPr>
      <w:sz w:val="20"/>
      <w:szCs w:val="20"/>
    </w:rPr>
  </w:style>
  <w:style w:type="character" w:customStyle="1" w:styleId="CommentTextChar">
    <w:name w:val="Comment Text Char"/>
    <w:basedOn w:val="DefaultParagraphFont"/>
    <w:link w:val="CommentText"/>
    <w:uiPriority w:val="99"/>
    <w:rsid w:val="00E01F4C"/>
    <w:rPr>
      <w:sz w:val="20"/>
      <w:szCs w:val="20"/>
    </w:rPr>
  </w:style>
  <w:style w:type="paragraph" w:styleId="CommentSubject">
    <w:name w:val="annotation subject"/>
    <w:basedOn w:val="CommentText"/>
    <w:next w:val="CommentText"/>
    <w:link w:val="CommentSubjectChar"/>
    <w:uiPriority w:val="99"/>
    <w:semiHidden/>
    <w:unhideWhenUsed/>
    <w:rsid w:val="00E01F4C"/>
    <w:rPr>
      <w:b/>
      <w:bCs/>
    </w:rPr>
  </w:style>
  <w:style w:type="character" w:customStyle="1" w:styleId="CommentSubjectChar">
    <w:name w:val="Comment Subject Char"/>
    <w:basedOn w:val="CommentTextChar"/>
    <w:link w:val="CommentSubject"/>
    <w:uiPriority w:val="99"/>
    <w:semiHidden/>
    <w:rsid w:val="00E01F4C"/>
    <w:rPr>
      <w:b/>
      <w:bCs/>
      <w:sz w:val="20"/>
      <w:szCs w:val="20"/>
    </w:rPr>
  </w:style>
  <w:style w:type="paragraph" w:styleId="Footer">
    <w:name w:val="footer"/>
    <w:basedOn w:val="Normal"/>
    <w:link w:val="FooterChar"/>
    <w:uiPriority w:val="99"/>
    <w:unhideWhenUsed/>
    <w:rsid w:val="00110F63"/>
    <w:pPr>
      <w:tabs>
        <w:tab w:val="center" w:pos="4680"/>
        <w:tab w:val="right" w:pos="9360"/>
      </w:tabs>
    </w:pPr>
  </w:style>
  <w:style w:type="character" w:customStyle="1" w:styleId="FooterChar">
    <w:name w:val="Footer Char"/>
    <w:basedOn w:val="DefaultParagraphFont"/>
    <w:link w:val="Footer"/>
    <w:uiPriority w:val="99"/>
    <w:rsid w:val="00110F63"/>
  </w:style>
  <w:style w:type="character" w:styleId="PageNumber">
    <w:name w:val="page number"/>
    <w:basedOn w:val="DefaultParagraphFont"/>
    <w:uiPriority w:val="99"/>
    <w:semiHidden/>
    <w:unhideWhenUsed/>
    <w:rsid w:val="00110F63"/>
  </w:style>
  <w:style w:type="character" w:styleId="Hyperlink">
    <w:name w:val="Hyperlink"/>
    <w:uiPriority w:val="99"/>
    <w:rsid w:val="00CA5D07"/>
    <w:rPr>
      <w:color w:val="333399"/>
      <w:u w:val="single"/>
    </w:rPr>
  </w:style>
  <w:style w:type="paragraph" w:styleId="NormalWeb">
    <w:name w:val="Normal (Web)"/>
    <w:basedOn w:val="Normal"/>
    <w:uiPriority w:val="99"/>
    <w:rsid w:val="00CA5D07"/>
    <w:pPr>
      <w:spacing w:before="100" w:beforeAutospacing="1" w:after="100" w:afterAutospacing="1"/>
    </w:pPr>
    <w:rPr>
      <w:rFonts w:ascii="Arial" w:eastAsia="Times New Roman" w:hAnsi="Arial" w:cs="Arial"/>
      <w:sz w:val="18"/>
      <w:szCs w:val="18"/>
      <w:lang w:val="en-GB" w:eastAsia="en-GB"/>
    </w:rPr>
  </w:style>
  <w:style w:type="table" w:styleId="TableGrid">
    <w:name w:val="Table Grid"/>
    <w:basedOn w:val="TableNormal"/>
    <w:uiPriority w:val="39"/>
    <w:rsid w:val="00CA5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CA5D07"/>
    <w:rPr>
      <w:rFonts w:ascii="Times New Roman" w:hAnsi="Times New Roman" w:cs="Times New Roman"/>
      <w:lang w:eastAsia="en-AU"/>
    </w:rPr>
  </w:style>
  <w:style w:type="character" w:styleId="Strong">
    <w:name w:val="Strong"/>
    <w:uiPriority w:val="22"/>
    <w:qFormat/>
    <w:rsid w:val="00B50EC3"/>
    <w:rPr>
      <w:b/>
      <w:bCs/>
    </w:rPr>
  </w:style>
  <w:style w:type="character" w:styleId="Emphasis">
    <w:name w:val="Emphasis"/>
    <w:uiPriority w:val="20"/>
    <w:qFormat/>
    <w:rsid w:val="00B50EC3"/>
    <w:rPr>
      <w:i/>
      <w:iCs/>
    </w:rPr>
  </w:style>
  <w:style w:type="character" w:customStyle="1" w:styleId="UnresolvedMention">
    <w:name w:val="Unresolved Mention"/>
    <w:basedOn w:val="DefaultParagraphFont"/>
    <w:uiPriority w:val="99"/>
    <w:semiHidden/>
    <w:unhideWhenUsed/>
    <w:rsid w:val="00EC3758"/>
    <w:rPr>
      <w:color w:val="605E5C"/>
      <w:shd w:val="clear" w:color="auto" w:fill="E1DFDD"/>
    </w:rPr>
  </w:style>
  <w:style w:type="character" w:styleId="FollowedHyperlink">
    <w:name w:val="FollowedHyperlink"/>
    <w:basedOn w:val="DefaultParagraphFont"/>
    <w:uiPriority w:val="99"/>
    <w:semiHidden/>
    <w:unhideWhenUsed/>
    <w:rsid w:val="00DB29CA"/>
    <w:rPr>
      <w:color w:val="954F72" w:themeColor="followedHyperlink"/>
      <w:u w:val="single"/>
    </w:rPr>
  </w:style>
  <w:style w:type="character" w:customStyle="1" w:styleId="period">
    <w:name w:val="period"/>
    <w:basedOn w:val="DefaultParagraphFont"/>
    <w:rsid w:val="00E07409"/>
  </w:style>
  <w:style w:type="character" w:customStyle="1" w:styleId="cit">
    <w:name w:val="cit"/>
    <w:basedOn w:val="DefaultParagraphFont"/>
    <w:rsid w:val="00E07409"/>
  </w:style>
  <w:style w:type="character" w:customStyle="1" w:styleId="Heading1Char">
    <w:name w:val="Heading 1 Char"/>
    <w:basedOn w:val="DefaultParagraphFont"/>
    <w:link w:val="Heading1"/>
    <w:uiPriority w:val="9"/>
    <w:rsid w:val="00D427B2"/>
    <w:rPr>
      <w:rFonts w:ascii="Times New Roman" w:eastAsia="Times New Roman" w:hAnsi="Times New Roman" w:cs="Times New Roman"/>
      <w:b/>
      <w:bCs/>
      <w:kern w:val="36"/>
      <w:sz w:val="48"/>
      <w:szCs w:val="48"/>
      <w:lang w:val="en-GB" w:eastAsia="en-GB"/>
    </w:rPr>
  </w:style>
  <w:style w:type="paragraph" w:styleId="Revision">
    <w:name w:val="Revision"/>
    <w:hidden/>
    <w:uiPriority w:val="99"/>
    <w:semiHidden/>
    <w:rsid w:val="00A13E03"/>
  </w:style>
  <w:style w:type="character" w:customStyle="1" w:styleId="Heading3Char">
    <w:name w:val="Heading 3 Char"/>
    <w:basedOn w:val="DefaultParagraphFont"/>
    <w:link w:val="Heading3"/>
    <w:uiPriority w:val="9"/>
    <w:semiHidden/>
    <w:rsid w:val="005F5123"/>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semiHidden/>
    <w:unhideWhenUsed/>
    <w:rsid w:val="007F41A2"/>
    <w:pPr>
      <w:tabs>
        <w:tab w:val="center" w:pos="4513"/>
        <w:tab w:val="right" w:pos="9026"/>
      </w:tabs>
    </w:pPr>
  </w:style>
  <w:style w:type="character" w:customStyle="1" w:styleId="HeaderChar">
    <w:name w:val="Header Char"/>
    <w:basedOn w:val="DefaultParagraphFont"/>
    <w:link w:val="Header"/>
    <w:uiPriority w:val="99"/>
    <w:semiHidden/>
    <w:rsid w:val="007F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2965">
      <w:bodyDiv w:val="1"/>
      <w:marLeft w:val="0"/>
      <w:marRight w:val="0"/>
      <w:marTop w:val="0"/>
      <w:marBottom w:val="0"/>
      <w:divBdr>
        <w:top w:val="none" w:sz="0" w:space="0" w:color="auto"/>
        <w:left w:val="none" w:sz="0" w:space="0" w:color="auto"/>
        <w:bottom w:val="none" w:sz="0" w:space="0" w:color="auto"/>
        <w:right w:val="none" w:sz="0" w:space="0" w:color="auto"/>
      </w:divBdr>
    </w:div>
    <w:div w:id="123426403">
      <w:bodyDiv w:val="1"/>
      <w:marLeft w:val="0"/>
      <w:marRight w:val="0"/>
      <w:marTop w:val="0"/>
      <w:marBottom w:val="0"/>
      <w:divBdr>
        <w:top w:val="none" w:sz="0" w:space="0" w:color="auto"/>
        <w:left w:val="none" w:sz="0" w:space="0" w:color="auto"/>
        <w:bottom w:val="none" w:sz="0" w:space="0" w:color="auto"/>
        <w:right w:val="none" w:sz="0" w:space="0" w:color="auto"/>
      </w:divBdr>
    </w:div>
    <w:div w:id="188031350">
      <w:bodyDiv w:val="1"/>
      <w:marLeft w:val="0"/>
      <w:marRight w:val="0"/>
      <w:marTop w:val="0"/>
      <w:marBottom w:val="0"/>
      <w:divBdr>
        <w:top w:val="none" w:sz="0" w:space="0" w:color="auto"/>
        <w:left w:val="none" w:sz="0" w:space="0" w:color="auto"/>
        <w:bottom w:val="none" w:sz="0" w:space="0" w:color="auto"/>
        <w:right w:val="none" w:sz="0" w:space="0" w:color="auto"/>
      </w:divBdr>
      <w:divsChild>
        <w:div w:id="39860992">
          <w:marLeft w:val="0"/>
          <w:marRight w:val="0"/>
          <w:marTop w:val="0"/>
          <w:marBottom w:val="0"/>
          <w:divBdr>
            <w:top w:val="none" w:sz="0" w:space="0" w:color="auto"/>
            <w:left w:val="none" w:sz="0" w:space="0" w:color="auto"/>
            <w:bottom w:val="none" w:sz="0" w:space="0" w:color="auto"/>
            <w:right w:val="none" w:sz="0" w:space="0" w:color="auto"/>
          </w:divBdr>
          <w:divsChild>
            <w:div w:id="1578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6020">
      <w:bodyDiv w:val="1"/>
      <w:marLeft w:val="0"/>
      <w:marRight w:val="0"/>
      <w:marTop w:val="0"/>
      <w:marBottom w:val="0"/>
      <w:divBdr>
        <w:top w:val="none" w:sz="0" w:space="0" w:color="auto"/>
        <w:left w:val="none" w:sz="0" w:space="0" w:color="auto"/>
        <w:bottom w:val="none" w:sz="0" w:space="0" w:color="auto"/>
        <w:right w:val="none" w:sz="0" w:space="0" w:color="auto"/>
      </w:divBdr>
    </w:div>
    <w:div w:id="300116043">
      <w:bodyDiv w:val="1"/>
      <w:marLeft w:val="0"/>
      <w:marRight w:val="0"/>
      <w:marTop w:val="0"/>
      <w:marBottom w:val="0"/>
      <w:divBdr>
        <w:top w:val="none" w:sz="0" w:space="0" w:color="auto"/>
        <w:left w:val="none" w:sz="0" w:space="0" w:color="auto"/>
        <w:bottom w:val="none" w:sz="0" w:space="0" w:color="auto"/>
        <w:right w:val="none" w:sz="0" w:space="0" w:color="auto"/>
      </w:divBdr>
    </w:div>
    <w:div w:id="575435223">
      <w:bodyDiv w:val="1"/>
      <w:marLeft w:val="0"/>
      <w:marRight w:val="0"/>
      <w:marTop w:val="0"/>
      <w:marBottom w:val="0"/>
      <w:divBdr>
        <w:top w:val="none" w:sz="0" w:space="0" w:color="auto"/>
        <w:left w:val="none" w:sz="0" w:space="0" w:color="auto"/>
        <w:bottom w:val="none" w:sz="0" w:space="0" w:color="auto"/>
        <w:right w:val="none" w:sz="0" w:space="0" w:color="auto"/>
      </w:divBdr>
    </w:div>
    <w:div w:id="617488401">
      <w:bodyDiv w:val="1"/>
      <w:marLeft w:val="0"/>
      <w:marRight w:val="0"/>
      <w:marTop w:val="0"/>
      <w:marBottom w:val="0"/>
      <w:divBdr>
        <w:top w:val="none" w:sz="0" w:space="0" w:color="auto"/>
        <w:left w:val="none" w:sz="0" w:space="0" w:color="auto"/>
        <w:bottom w:val="none" w:sz="0" w:space="0" w:color="auto"/>
        <w:right w:val="none" w:sz="0" w:space="0" w:color="auto"/>
      </w:divBdr>
    </w:div>
    <w:div w:id="794442819">
      <w:bodyDiv w:val="1"/>
      <w:marLeft w:val="0"/>
      <w:marRight w:val="0"/>
      <w:marTop w:val="0"/>
      <w:marBottom w:val="0"/>
      <w:divBdr>
        <w:top w:val="none" w:sz="0" w:space="0" w:color="auto"/>
        <w:left w:val="none" w:sz="0" w:space="0" w:color="auto"/>
        <w:bottom w:val="none" w:sz="0" w:space="0" w:color="auto"/>
        <w:right w:val="none" w:sz="0" w:space="0" w:color="auto"/>
      </w:divBdr>
    </w:div>
    <w:div w:id="976883202">
      <w:bodyDiv w:val="1"/>
      <w:marLeft w:val="0"/>
      <w:marRight w:val="0"/>
      <w:marTop w:val="0"/>
      <w:marBottom w:val="0"/>
      <w:divBdr>
        <w:top w:val="none" w:sz="0" w:space="0" w:color="auto"/>
        <w:left w:val="none" w:sz="0" w:space="0" w:color="auto"/>
        <w:bottom w:val="none" w:sz="0" w:space="0" w:color="auto"/>
        <w:right w:val="none" w:sz="0" w:space="0" w:color="auto"/>
      </w:divBdr>
    </w:div>
    <w:div w:id="1001007614">
      <w:bodyDiv w:val="1"/>
      <w:marLeft w:val="0"/>
      <w:marRight w:val="0"/>
      <w:marTop w:val="0"/>
      <w:marBottom w:val="0"/>
      <w:divBdr>
        <w:top w:val="none" w:sz="0" w:space="0" w:color="auto"/>
        <w:left w:val="none" w:sz="0" w:space="0" w:color="auto"/>
        <w:bottom w:val="none" w:sz="0" w:space="0" w:color="auto"/>
        <w:right w:val="none" w:sz="0" w:space="0" w:color="auto"/>
      </w:divBdr>
    </w:div>
    <w:div w:id="1046565857">
      <w:bodyDiv w:val="1"/>
      <w:marLeft w:val="0"/>
      <w:marRight w:val="0"/>
      <w:marTop w:val="0"/>
      <w:marBottom w:val="0"/>
      <w:divBdr>
        <w:top w:val="none" w:sz="0" w:space="0" w:color="auto"/>
        <w:left w:val="none" w:sz="0" w:space="0" w:color="auto"/>
        <w:bottom w:val="none" w:sz="0" w:space="0" w:color="auto"/>
        <w:right w:val="none" w:sz="0" w:space="0" w:color="auto"/>
      </w:divBdr>
    </w:div>
    <w:div w:id="1112549079">
      <w:bodyDiv w:val="1"/>
      <w:marLeft w:val="0"/>
      <w:marRight w:val="0"/>
      <w:marTop w:val="0"/>
      <w:marBottom w:val="0"/>
      <w:divBdr>
        <w:top w:val="none" w:sz="0" w:space="0" w:color="auto"/>
        <w:left w:val="none" w:sz="0" w:space="0" w:color="auto"/>
        <w:bottom w:val="none" w:sz="0" w:space="0" w:color="auto"/>
        <w:right w:val="none" w:sz="0" w:space="0" w:color="auto"/>
      </w:divBdr>
      <w:divsChild>
        <w:div w:id="1586768183">
          <w:marLeft w:val="0"/>
          <w:marRight w:val="0"/>
          <w:marTop w:val="0"/>
          <w:marBottom w:val="0"/>
          <w:divBdr>
            <w:top w:val="none" w:sz="0" w:space="0" w:color="auto"/>
            <w:left w:val="none" w:sz="0" w:space="0" w:color="auto"/>
            <w:bottom w:val="none" w:sz="0" w:space="0" w:color="auto"/>
            <w:right w:val="none" w:sz="0" w:space="0" w:color="auto"/>
          </w:divBdr>
          <w:divsChild>
            <w:div w:id="6499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3842">
      <w:bodyDiv w:val="1"/>
      <w:marLeft w:val="0"/>
      <w:marRight w:val="0"/>
      <w:marTop w:val="0"/>
      <w:marBottom w:val="0"/>
      <w:divBdr>
        <w:top w:val="none" w:sz="0" w:space="0" w:color="auto"/>
        <w:left w:val="none" w:sz="0" w:space="0" w:color="auto"/>
        <w:bottom w:val="none" w:sz="0" w:space="0" w:color="auto"/>
        <w:right w:val="none" w:sz="0" w:space="0" w:color="auto"/>
      </w:divBdr>
      <w:divsChild>
        <w:div w:id="165217949">
          <w:marLeft w:val="0"/>
          <w:marRight w:val="0"/>
          <w:marTop w:val="0"/>
          <w:marBottom w:val="0"/>
          <w:divBdr>
            <w:top w:val="none" w:sz="0" w:space="0" w:color="auto"/>
            <w:left w:val="none" w:sz="0" w:space="0" w:color="auto"/>
            <w:bottom w:val="none" w:sz="0" w:space="0" w:color="auto"/>
            <w:right w:val="none" w:sz="0" w:space="0" w:color="auto"/>
          </w:divBdr>
          <w:divsChild>
            <w:div w:id="16827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261">
      <w:bodyDiv w:val="1"/>
      <w:marLeft w:val="0"/>
      <w:marRight w:val="0"/>
      <w:marTop w:val="0"/>
      <w:marBottom w:val="0"/>
      <w:divBdr>
        <w:top w:val="none" w:sz="0" w:space="0" w:color="auto"/>
        <w:left w:val="none" w:sz="0" w:space="0" w:color="auto"/>
        <w:bottom w:val="none" w:sz="0" w:space="0" w:color="auto"/>
        <w:right w:val="none" w:sz="0" w:space="0" w:color="auto"/>
      </w:divBdr>
    </w:div>
    <w:div w:id="1419594865">
      <w:bodyDiv w:val="1"/>
      <w:marLeft w:val="0"/>
      <w:marRight w:val="0"/>
      <w:marTop w:val="0"/>
      <w:marBottom w:val="0"/>
      <w:divBdr>
        <w:top w:val="none" w:sz="0" w:space="0" w:color="auto"/>
        <w:left w:val="none" w:sz="0" w:space="0" w:color="auto"/>
        <w:bottom w:val="none" w:sz="0" w:space="0" w:color="auto"/>
        <w:right w:val="none" w:sz="0" w:space="0" w:color="auto"/>
      </w:divBdr>
    </w:div>
    <w:div w:id="1438015858">
      <w:bodyDiv w:val="1"/>
      <w:marLeft w:val="0"/>
      <w:marRight w:val="0"/>
      <w:marTop w:val="0"/>
      <w:marBottom w:val="0"/>
      <w:divBdr>
        <w:top w:val="none" w:sz="0" w:space="0" w:color="auto"/>
        <w:left w:val="none" w:sz="0" w:space="0" w:color="auto"/>
        <w:bottom w:val="none" w:sz="0" w:space="0" w:color="auto"/>
        <w:right w:val="none" w:sz="0" w:space="0" w:color="auto"/>
      </w:divBdr>
    </w:div>
    <w:div w:id="1761676983">
      <w:bodyDiv w:val="1"/>
      <w:marLeft w:val="0"/>
      <w:marRight w:val="0"/>
      <w:marTop w:val="0"/>
      <w:marBottom w:val="0"/>
      <w:divBdr>
        <w:top w:val="none" w:sz="0" w:space="0" w:color="auto"/>
        <w:left w:val="none" w:sz="0" w:space="0" w:color="auto"/>
        <w:bottom w:val="none" w:sz="0" w:space="0" w:color="auto"/>
        <w:right w:val="none" w:sz="0" w:space="0" w:color="auto"/>
      </w:divBdr>
    </w:div>
    <w:div w:id="1864827569">
      <w:bodyDiv w:val="1"/>
      <w:marLeft w:val="0"/>
      <w:marRight w:val="0"/>
      <w:marTop w:val="0"/>
      <w:marBottom w:val="0"/>
      <w:divBdr>
        <w:top w:val="none" w:sz="0" w:space="0" w:color="auto"/>
        <w:left w:val="none" w:sz="0" w:space="0" w:color="auto"/>
        <w:bottom w:val="none" w:sz="0" w:space="0" w:color="auto"/>
        <w:right w:val="none" w:sz="0" w:space="0" w:color="auto"/>
      </w:divBdr>
    </w:div>
    <w:div w:id="2128425305">
      <w:bodyDiv w:val="1"/>
      <w:marLeft w:val="0"/>
      <w:marRight w:val="0"/>
      <w:marTop w:val="0"/>
      <w:marBottom w:val="0"/>
      <w:divBdr>
        <w:top w:val="none" w:sz="0" w:space="0" w:color="auto"/>
        <w:left w:val="none" w:sz="0" w:space="0" w:color="auto"/>
        <w:bottom w:val="none" w:sz="0" w:space="0" w:color="auto"/>
        <w:right w:val="none" w:sz="0" w:space="0" w:color="auto"/>
      </w:divBdr>
      <w:divsChild>
        <w:div w:id="1120493698">
          <w:marLeft w:val="0"/>
          <w:marRight w:val="0"/>
          <w:marTop w:val="0"/>
          <w:marBottom w:val="0"/>
          <w:divBdr>
            <w:top w:val="none" w:sz="0" w:space="0" w:color="auto"/>
            <w:left w:val="none" w:sz="0" w:space="0" w:color="auto"/>
            <w:bottom w:val="none" w:sz="0" w:space="0" w:color="auto"/>
            <w:right w:val="none" w:sz="0" w:space="0" w:color="auto"/>
          </w:divBdr>
          <w:divsChild>
            <w:div w:id="10031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ViewPublication(19234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yprofiles.ncl.ac.uk/publications/view_publication?id=72408"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eses.ncl.ac.uk/jspui/handle/10443/4299/"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1177/0022034510363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8B3B6A595949857523B4FAA5659E" ma:contentTypeVersion="13" ma:contentTypeDescription="Create a new document." ma:contentTypeScope="" ma:versionID="44318b8f7402bb0dd9245fb7f7d9ac35">
  <xsd:schema xmlns:xsd="http://www.w3.org/2001/XMLSchema" xmlns:xs="http://www.w3.org/2001/XMLSchema" xmlns:p="http://schemas.microsoft.com/office/2006/metadata/properties" xmlns:ns3="d631722c-5c49-440b-ad1c-141a782e712d" xmlns:ns4="1104b665-2b52-4a4b-bf38-74557492b486" targetNamespace="http://schemas.microsoft.com/office/2006/metadata/properties" ma:root="true" ma:fieldsID="c20422ed8f372ca64cc8edc44d0b58ba" ns3:_="" ns4:_="">
    <xsd:import namespace="d631722c-5c49-440b-ad1c-141a782e712d"/>
    <xsd:import namespace="1104b665-2b52-4a4b-bf38-74557492b4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1722c-5c49-440b-ad1c-141a782e7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4b665-2b52-4a4b-bf38-74557492b4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7B7C-2AB7-4C3F-9835-0C56CDD60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1722c-5c49-440b-ad1c-141a782e712d"/>
    <ds:schemaRef ds:uri="1104b665-2b52-4a4b-bf38-74557492b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9CC35-F783-4129-935E-66DF6DD6B8B7}">
  <ds:schemaRefs>
    <ds:schemaRef ds:uri="1104b665-2b52-4a4b-bf38-74557492b486"/>
    <ds:schemaRef ds:uri="http://purl.org/dc/elements/1.1/"/>
    <ds:schemaRef ds:uri="http://schemas.microsoft.com/office/2006/metadata/properties"/>
    <ds:schemaRef ds:uri="http://schemas.microsoft.com/office/2006/documentManagement/types"/>
    <ds:schemaRef ds:uri="d631722c-5c49-440b-ad1c-141a782e712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31911F1-B446-4129-8DF0-CFD18A670A65}">
  <ds:schemaRefs>
    <ds:schemaRef ds:uri="http://schemas.microsoft.com/sharepoint/v3/contenttype/forms"/>
  </ds:schemaRefs>
</ds:datastoreItem>
</file>

<file path=customXml/itemProps4.xml><?xml version="1.0" encoding="utf-8"?>
<ds:datastoreItem xmlns:ds="http://schemas.openxmlformats.org/officeDocument/2006/customXml" ds:itemID="{AB94D133-DC59-45ED-86AF-C07DB335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Moynihan</dc:creator>
  <cp:keywords/>
  <dc:description/>
  <cp:lastModifiedBy>Paula Moynihan</cp:lastModifiedBy>
  <cp:revision>4</cp:revision>
  <dcterms:created xsi:type="dcterms:W3CDTF">2021-08-10T00:26:00Z</dcterms:created>
  <dcterms:modified xsi:type="dcterms:W3CDTF">2021-08-31T23:46:00Z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0x010100D6D88B3B6A595949857523B4FAA5659E</vt:lpwstr>
  </property>
</Properties>
</file>