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3193D" w14:paraId="4F4DD336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314DE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</w:t>
            </w:r>
          </w:p>
          <w:p w14:paraId="46844C02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E91C3B9" wp14:editId="390E8D90">
                  <wp:extent cx="2838450" cy="2844800"/>
                  <wp:effectExtent l="0" t="0" r="0" b="0"/>
                  <wp:docPr id="47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CDE1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ii)</w:t>
            </w:r>
          </w:p>
          <w:p w14:paraId="223B12D2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7E59A2CD" wp14:editId="4FC79C57">
                  <wp:extent cx="2838450" cy="2844800"/>
                  <wp:effectExtent l="0" t="0" r="0" b="0"/>
                  <wp:docPr id="42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93D" w14:paraId="2A8AB579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C9F0C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iii)</w:t>
            </w:r>
          </w:p>
          <w:p w14:paraId="345E86CC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7C597D6" wp14:editId="325ECB9A">
                  <wp:extent cx="2838450" cy="2844800"/>
                  <wp:effectExtent l="0" t="0" r="0" b="0"/>
                  <wp:docPr id="24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0844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iv)</w:t>
            </w:r>
          </w:p>
          <w:p w14:paraId="4A57EF78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9B5AB22" wp14:editId="49732F89">
                  <wp:extent cx="2838450" cy="2844800"/>
                  <wp:effectExtent l="0" t="0" r="0" b="0"/>
                  <wp:docPr id="43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93D" w14:paraId="735EE17C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2057A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8F73B63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20F427B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71440AE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660E586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2E89C74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3DC1D9F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6F8B155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C6C834A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EE28DA8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531D947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660A57F" w14:textId="04615621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v)</w:t>
            </w:r>
          </w:p>
          <w:p w14:paraId="64B9B800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2F38218" wp14:editId="32D2BF11">
                  <wp:extent cx="2838450" cy="2844800"/>
                  <wp:effectExtent l="0" t="0" r="0" b="0"/>
                  <wp:docPr id="66" name="image6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BF2D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8179AA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44FD9DC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65C25C2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56442F6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9F144C0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C5FA8FD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60DDB23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CEF5121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1BCBB2A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FE37EB6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3D4C10D" w14:textId="6580EFEB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vi)</w:t>
            </w:r>
          </w:p>
          <w:p w14:paraId="53FEDC86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9F8BBAD" wp14:editId="3644C725">
                  <wp:extent cx="2838450" cy="2844800"/>
                  <wp:effectExtent l="0" t="0" r="0" b="0"/>
                  <wp:docPr id="34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241" w14:paraId="707E8CA2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5A51" w14:textId="3F17E526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vii)</w:t>
            </w:r>
          </w:p>
          <w:p w14:paraId="2471C835" w14:textId="765ECA1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noProof/>
              </w:rPr>
              <w:drawing>
                <wp:inline distT="114300" distB="114300" distL="114300" distR="114300" wp14:anchorId="2D7BBE15" wp14:editId="7F37EA7D">
                  <wp:extent cx="2838450" cy="2844800"/>
                  <wp:effectExtent l="0" t="0" r="0" b="0"/>
                  <wp:docPr id="8" name="image7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BCCD3" w14:textId="4147DC8B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viii)</w:t>
            </w:r>
          </w:p>
          <w:p w14:paraId="5C84DF7C" w14:textId="6E5D879A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noProof/>
              </w:rPr>
              <w:drawing>
                <wp:inline distT="114300" distB="114300" distL="114300" distR="114300" wp14:anchorId="15280DB1" wp14:editId="3CA204C3">
                  <wp:extent cx="2838450" cy="2844800"/>
                  <wp:effectExtent l="0" t="0" r="0" b="0"/>
                  <wp:docPr id="2" name="image8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241" w14:paraId="633FB608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A623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6D0995E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2BA4C09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AFF8FEE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44D5FE3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ECAF7F7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5E99AFE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8ADC126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0B3EC97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10BE351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32E7235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8547C9B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8B55BE0" w14:textId="77E00609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ix)</w:t>
            </w:r>
          </w:p>
          <w:p w14:paraId="32BF3A26" w14:textId="1092A22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64637CB8" wp14:editId="57B494C8">
                  <wp:extent cx="2838450" cy="2844800"/>
                  <wp:effectExtent l="0" t="0" r="0" b="0"/>
                  <wp:docPr id="84" name="image8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5EA4" w14:textId="45BC92C0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D1241" w14:paraId="5FFCB2BB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443E" w14:textId="104B750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DC42" w14:textId="77777777" w:rsidR="005D1241" w:rsidRDefault="005D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7C619934" w14:textId="77777777" w:rsidR="0013193D" w:rsidRDefault="0013193D"/>
    <w:p w14:paraId="473F67F6" w14:textId="4C64B12C" w:rsidR="0013193D" w:rsidRDefault="002A0BBC">
      <w:r>
        <w:rPr>
          <w:b/>
        </w:rPr>
        <w:t>Figure S3.</w:t>
      </w:r>
      <w:r>
        <w:t xml:space="preserve"> Gene set enrichment analyses </w:t>
      </w:r>
      <w:r w:rsidR="00D364B6">
        <w:t xml:space="preserve">(GSEA) of </w:t>
      </w:r>
      <w:r>
        <w:t>placenta genes</w:t>
      </w:r>
      <w:r w:rsidR="00D364B6">
        <w:t xml:space="preserve"> associated with late-onset preeclampsia</w:t>
      </w:r>
      <w:r>
        <w:t>.</w:t>
      </w:r>
      <w:r w:rsidR="005D1241">
        <w:t xml:space="preserve"> Following differential expression analysis</w:t>
      </w:r>
      <w:r>
        <w:t xml:space="preserve"> </w:t>
      </w:r>
      <w:r w:rsidR="00D364B6">
        <w:t>g</w:t>
      </w:r>
      <w:r w:rsidR="005D1241">
        <w:t xml:space="preserve">enes were ranked </w:t>
      </w:r>
      <w:r w:rsidR="00D364B6">
        <w:t>according to t</w:t>
      </w:r>
      <w:r w:rsidR="005D1241">
        <w:t>he product of the sign of the log fold change and the negative log 10 FDR</w:t>
      </w:r>
      <w:r w:rsidR="00863511">
        <w:t xml:space="preserve"> (1)</w:t>
      </w:r>
      <w:r w:rsidR="005D1241">
        <w:t xml:space="preserve">. </w:t>
      </w:r>
      <w:r w:rsidR="00863511">
        <w:t>Hallmark p</w:t>
      </w:r>
      <w:r>
        <w:t>athways enriched with up-regulated genes (</w:t>
      </w:r>
      <w:proofErr w:type="spellStart"/>
      <w:r>
        <w:rPr>
          <w:b/>
        </w:rPr>
        <w:t>i</w:t>
      </w:r>
      <w:proofErr w:type="spellEnd"/>
      <w:r>
        <w:rPr>
          <w:b/>
        </w:rPr>
        <w:t>-vi</w:t>
      </w:r>
      <w:r>
        <w:t>) and down-regulated genes (</w:t>
      </w:r>
      <w:r w:rsidR="005D1241">
        <w:rPr>
          <w:b/>
        </w:rPr>
        <w:t>vii</w:t>
      </w:r>
      <w:r>
        <w:rPr>
          <w:b/>
        </w:rPr>
        <w:t>-</w:t>
      </w:r>
      <w:r w:rsidR="005D1241">
        <w:rPr>
          <w:b/>
        </w:rPr>
        <w:t>i</w:t>
      </w:r>
      <w:r>
        <w:rPr>
          <w:b/>
        </w:rPr>
        <w:t>x</w:t>
      </w:r>
      <w:r>
        <w:t>).</w:t>
      </w:r>
    </w:p>
    <w:p w14:paraId="2A3C1288" w14:textId="5D9FA4F3" w:rsidR="00863511" w:rsidRDefault="00863511"/>
    <w:p w14:paraId="5087EB4C" w14:textId="087DCDA0" w:rsidR="00863511" w:rsidRDefault="00863511" w:rsidP="00863511">
      <w:pPr>
        <w:pStyle w:val="ListParagraph"/>
        <w:numPr>
          <w:ilvl w:val="0"/>
          <w:numId w:val="1"/>
        </w:numPr>
      </w:pPr>
      <w:r w:rsidRPr="00863511">
        <w:rPr>
          <w:rFonts w:ascii="Calibri" w:hAnsi="Calibri"/>
        </w:rPr>
        <w:t>GSEA rank = (sign(logFC</w:t>
      </w:r>
      <w:proofErr w:type="gramStart"/>
      <w:r w:rsidRPr="00863511">
        <w:rPr>
          <w:rFonts w:ascii="Calibri" w:hAnsi="Calibri"/>
        </w:rPr>
        <w:t>))*</w:t>
      </w:r>
      <w:proofErr w:type="gramEnd"/>
      <w:r w:rsidRPr="00863511">
        <w:rPr>
          <w:rFonts w:ascii="Calibri" w:hAnsi="Calibri"/>
        </w:rPr>
        <w:t>(-log</w:t>
      </w:r>
      <w:r w:rsidRPr="00863511">
        <w:rPr>
          <w:rFonts w:ascii="Calibri" w:hAnsi="Calibri"/>
          <w:vertAlign w:val="subscript"/>
        </w:rPr>
        <w:t>10</w:t>
      </w:r>
      <w:r w:rsidRPr="00863511">
        <w:rPr>
          <w:rFonts w:ascii="Calibri" w:hAnsi="Calibri"/>
        </w:rPr>
        <w:t>(FDR))</w:t>
      </w:r>
    </w:p>
    <w:sectPr w:rsidR="00863511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AF23" w14:textId="77777777" w:rsidR="00AD5FA8" w:rsidRDefault="00AD5FA8">
      <w:pPr>
        <w:spacing w:line="240" w:lineRule="auto"/>
      </w:pPr>
      <w:r>
        <w:separator/>
      </w:r>
    </w:p>
  </w:endnote>
  <w:endnote w:type="continuationSeparator" w:id="0">
    <w:p w14:paraId="4FC4EBA4" w14:textId="77777777" w:rsidR="00AD5FA8" w:rsidRDefault="00AD5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729D" w14:textId="77777777" w:rsidR="00AD5FA8" w:rsidRDefault="00AD5FA8">
      <w:pPr>
        <w:spacing w:line="240" w:lineRule="auto"/>
      </w:pPr>
      <w:r>
        <w:separator/>
      </w:r>
    </w:p>
  </w:footnote>
  <w:footnote w:type="continuationSeparator" w:id="0">
    <w:p w14:paraId="38544099" w14:textId="77777777" w:rsidR="00AD5FA8" w:rsidRDefault="00AD5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DB0E" w14:textId="77777777" w:rsidR="0013193D" w:rsidRDefault="001319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4D72"/>
    <w:multiLevelType w:val="hybridMultilevel"/>
    <w:tmpl w:val="AD309ED2"/>
    <w:lvl w:ilvl="0" w:tplc="9B4EA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3D"/>
    <w:rsid w:val="0013193D"/>
    <w:rsid w:val="00287757"/>
    <w:rsid w:val="002A0BBC"/>
    <w:rsid w:val="005D1241"/>
    <w:rsid w:val="00863511"/>
    <w:rsid w:val="00AD5FA8"/>
    <w:rsid w:val="00D3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95F63"/>
  <w15:docId w15:val="{2E402A87-649A-744C-9DD4-75C0D644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6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Denise Smith</cp:lastModifiedBy>
  <cp:revision>2</cp:revision>
  <dcterms:created xsi:type="dcterms:W3CDTF">2021-09-09T08:43:00Z</dcterms:created>
  <dcterms:modified xsi:type="dcterms:W3CDTF">2021-09-09T08:43:00Z</dcterms:modified>
</cp:coreProperties>
</file>