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A65F" w14:textId="77777777" w:rsidR="00FB5C58" w:rsidRDefault="008E3BD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ABA5797" wp14:editId="69BF24AE">
            <wp:extent cx="5771078" cy="6843713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078" cy="684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A666D3" w14:textId="77777777" w:rsidR="00FB5C58" w:rsidRDefault="008E3BDE">
      <w:pPr>
        <w:spacing w:line="240" w:lineRule="auto"/>
        <w:rPr>
          <w:sz w:val="24"/>
          <w:szCs w:val="24"/>
        </w:rPr>
      </w:pPr>
      <w:r>
        <w:rPr>
          <w:b/>
        </w:rPr>
        <w:t>Supplementary figure 1</w:t>
      </w:r>
      <w:r>
        <w:t xml:space="preserve">: Haemolysis signature feature selection. Raw single-end reads from </w:t>
      </w:r>
      <w:proofErr w:type="spellStart"/>
      <w:r>
        <w:t>smallRNA</w:t>
      </w:r>
      <w:proofErr w:type="spellEnd"/>
      <w:r>
        <w:t xml:space="preserve">-seq libraries are </w:t>
      </w:r>
      <w:proofErr w:type="spellStart"/>
      <w:r>
        <w:t>preprocessed</w:t>
      </w:r>
      <w:proofErr w:type="spellEnd"/>
      <w:r>
        <w:t xml:space="preserve"> using a range of Unix- and python-based computational tools to</w:t>
      </w:r>
      <w:r>
        <w:t xml:space="preserve"> quantify miRNA expression in each library. Data quality is ensured through quality control steps throughout the workflow. Concurrently with sequencing, </w:t>
      </w:r>
      <w:proofErr w:type="spellStart"/>
      <w:r>
        <w:t>ΔCq</w:t>
      </w:r>
      <w:proofErr w:type="spellEnd"/>
      <w:r>
        <w:t xml:space="preserve"> (miR-23a-miR-451) was assessed by RT-qPCR and incorporated into the differential expression analysi</w:t>
      </w:r>
      <w:r>
        <w:t>s.</w:t>
      </w:r>
      <w:r>
        <w:rPr>
          <w:sz w:val="24"/>
          <w:szCs w:val="24"/>
        </w:rPr>
        <w:t xml:space="preserve"> </w:t>
      </w:r>
    </w:p>
    <w:sectPr w:rsidR="00FB5C58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5C2A" w14:textId="77777777" w:rsidR="008E3BDE" w:rsidRDefault="008E3BDE">
      <w:pPr>
        <w:spacing w:line="240" w:lineRule="auto"/>
      </w:pPr>
      <w:r>
        <w:separator/>
      </w:r>
    </w:p>
  </w:endnote>
  <w:endnote w:type="continuationSeparator" w:id="0">
    <w:p w14:paraId="1D9E2B05" w14:textId="77777777" w:rsidR="008E3BDE" w:rsidRDefault="008E3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DFB" w14:textId="77777777" w:rsidR="00FB5C58" w:rsidRDefault="008E3BDE">
    <w:pPr>
      <w:jc w:val="right"/>
    </w:pPr>
    <w:r>
      <w:fldChar w:fldCharType="begin"/>
    </w:r>
    <w:r>
      <w:instrText>PAGE</w:instrText>
    </w:r>
    <w:r>
      <w:fldChar w:fldCharType="separate"/>
    </w:r>
    <w:r w:rsidR="0049140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95F" w14:textId="77777777" w:rsidR="00FB5C58" w:rsidRDefault="00FB5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3684" w14:textId="77777777" w:rsidR="008E3BDE" w:rsidRDefault="008E3BDE">
      <w:pPr>
        <w:spacing w:line="240" w:lineRule="auto"/>
      </w:pPr>
      <w:r>
        <w:separator/>
      </w:r>
    </w:p>
  </w:footnote>
  <w:footnote w:type="continuationSeparator" w:id="0">
    <w:p w14:paraId="36DDE374" w14:textId="77777777" w:rsidR="008E3BDE" w:rsidRDefault="008E3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58"/>
    <w:rsid w:val="0049140B"/>
    <w:rsid w:val="008E3BDE"/>
    <w:rsid w:val="00BC136F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34815"/>
  <w15:docId w15:val="{CF3A86D1-5889-104F-B9BF-9F2FDF4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2021-09-09T15:43:00Z</dcterms:created>
  <dcterms:modified xsi:type="dcterms:W3CDTF">2021-09-09T15:43:00Z</dcterms:modified>
</cp:coreProperties>
</file>